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2ED52" w14:textId="77777777" w:rsidR="00C2131C" w:rsidRPr="00896B83" w:rsidRDefault="00C2131C" w:rsidP="00C2131C">
      <w:pPr>
        <w:pStyle w:val="Default"/>
        <w:rPr>
          <w:rFonts w:asciiTheme="minorHAnsi" w:hAnsiTheme="minorHAnsi" w:cstheme="minorHAnsi"/>
        </w:rPr>
      </w:pPr>
    </w:p>
    <w:p w14:paraId="3CC48737" w14:textId="5B26E88C" w:rsidR="00896B83" w:rsidRPr="00834985" w:rsidRDefault="00C2131C" w:rsidP="00834985">
      <w:pPr>
        <w:pStyle w:val="Default"/>
        <w:pBdr>
          <w:top w:val="single" w:sz="4" w:space="1" w:color="auto"/>
          <w:left w:val="single" w:sz="4" w:space="4" w:color="auto"/>
          <w:bottom w:val="single" w:sz="4" w:space="1" w:color="auto"/>
          <w:right w:val="single" w:sz="4" w:space="4" w:color="auto"/>
        </w:pBdr>
        <w:jc w:val="center"/>
        <w:rPr>
          <w:rFonts w:asciiTheme="minorHAnsi" w:hAnsiTheme="minorHAnsi" w:cstheme="minorHAnsi"/>
          <w:b/>
          <w:bCs/>
          <w:sz w:val="32"/>
          <w:szCs w:val="32"/>
        </w:rPr>
      </w:pPr>
      <w:r w:rsidRPr="00834985">
        <w:rPr>
          <w:rFonts w:asciiTheme="minorHAnsi" w:hAnsiTheme="minorHAnsi" w:cstheme="minorHAnsi"/>
          <w:b/>
          <w:bCs/>
          <w:sz w:val="32"/>
          <w:szCs w:val="32"/>
        </w:rPr>
        <w:t>Modèle de délibération</w:t>
      </w:r>
    </w:p>
    <w:p w14:paraId="621C29E6" w14:textId="77777777" w:rsidR="00834985" w:rsidRDefault="00834985" w:rsidP="00896B83">
      <w:pPr>
        <w:pStyle w:val="Default"/>
        <w:jc w:val="center"/>
        <w:rPr>
          <w:rFonts w:asciiTheme="minorHAnsi" w:hAnsiTheme="minorHAnsi" w:cstheme="minorHAnsi"/>
          <w:b/>
          <w:bCs/>
          <w:i/>
          <w:iCs/>
        </w:rPr>
      </w:pPr>
    </w:p>
    <w:p w14:paraId="5A840FF0" w14:textId="7EB4332C" w:rsidR="00C2131C" w:rsidRPr="00896B83" w:rsidRDefault="00C2131C" w:rsidP="00896B83">
      <w:pPr>
        <w:pStyle w:val="Default"/>
        <w:jc w:val="center"/>
        <w:rPr>
          <w:rFonts w:asciiTheme="minorHAnsi" w:hAnsiTheme="minorHAnsi" w:cstheme="minorHAnsi"/>
          <w:b/>
          <w:bCs/>
          <w:i/>
          <w:iCs/>
        </w:rPr>
      </w:pPr>
      <w:r w:rsidRPr="00896B83">
        <w:rPr>
          <w:rFonts w:asciiTheme="minorHAnsi" w:hAnsiTheme="minorHAnsi" w:cstheme="minorHAnsi"/>
          <w:b/>
          <w:bCs/>
          <w:i/>
          <w:iCs/>
        </w:rPr>
        <w:t xml:space="preserve">Objet </w:t>
      </w:r>
      <w:r w:rsidRPr="00896B83">
        <w:rPr>
          <w:rFonts w:asciiTheme="minorHAnsi" w:hAnsiTheme="minorHAnsi" w:cstheme="minorHAnsi"/>
          <w:i/>
          <w:iCs/>
        </w:rPr>
        <w:t xml:space="preserve">: </w:t>
      </w:r>
      <w:r w:rsidRPr="00896B83">
        <w:rPr>
          <w:rFonts w:asciiTheme="minorHAnsi" w:hAnsiTheme="minorHAnsi" w:cstheme="minorHAnsi"/>
          <w:b/>
          <w:bCs/>
          <w:i/>
          <w:iCs/>
        </w:rPr>
        <w:t>Transfert de la compétence d’autorité gaz</w:t>
      </w:r>
    </w:p>
    <w:p w14:paraId="1764448E" w14:textId="77777777" w:rsidR="00C2131C" w:rsidRPr="00896B83" w:rsidRDefault="00C2131C" w:rsidP="00C2131C">
      <w:pPr>
        <w:pStyle w:val="Default"/>
        <w:rPr>
          <w:rFonts w:asciiTheme="minorHAnsi" w:hAnsiTheme="minorHAnsi" w:cstheme="minorHAnsi"/>
        </w:rPr>
      </w:pPr>
    </w:p>
    <w:p w14:paraId="7CA6B14E" w14:textId="77777777" w:rsidR="0079393B" w:rsidRDefault="0079393B" w:rsidP="0079393B">
      <w:pPr>
        <w:pStyle w:val="Default"/>
        <w:jc w:val="both"/>
        <w:rPr>
          <w:rFonts w:asciiTheme="minorHAnsi" w:hAnsiTheme="minorHAnsi" w:cstheme="minorHAnsi"/>
          <w:b/>
          <w:bCs/>
        </w:rPr>
      </w:pPr>
    </w:p>
    <w:p w14:paraId="21ED069B" w14:textId="77777777" w:rsidR="0079393B" w:rsidRPr="00896B83" w:rsidRDefault="0079393B" w:rsidP="0079393B">
      <w:pPr>
        <w:pStyle w:val="Default"/>
        <w:jc w:val="both"/>
        <w:rPr>
          <w:rFonts w:asciiTheme="minorHAnsi" w:hAnsiTheme="minorHAnsi" w:cstheme="minorHAnsi"/>
        </w:rPr>
      </w:pPr>
      <w:r w:rsidRPr="00896B83">
        <w:rPr>
          <w:rFonts w:asciiTheme="minorHAnsi" w:hAnsiTheme="minorHAnsi" w:cstheme="minorHAnsi"/>
          <w:b/>
          <w:bCs/>
        </w:rPr>
        <w:t xml:space="preserve">VU </w:t>
      </w:r>
      <w:r w:rsidRPr="00896B83">
        <w:rPr>
          <w:rFonts w:asciiTheme="minorHAnsi" w:hAnsiTheme="minorHAnsi" w:cstheme="minorHAnsi"/>
        </w:rPr>
        <w:t xml:space="preserve">le Code général des collectivités territoriales, notamment à son article L 5212-16 ; </w:t>
      </w:r>
    </w:p>
    <w:p w14:paraId="1D233929" w14:textId="31BF7A8F" w:rsidR="0079393B" w:rsidRPr="005A6D02" w:rsidRDefault="0079393B" w:rsidP="0079393B">
      <w:pPr>
        <w:pStyle w:val="Default"/>
        <w:jc w:val="both"/>
        <w:rPr>
          <w:rFonts w:asciiTheme="minorHAnsi" w:hAnsiTheme="minorHAnsi" w:cstheme="minorHAnsi"/>
        </w:rPr>
      </w:pPr>
      <w:r w:rsidRPr="00896B83">
        <w:rPr>
          <w:rFonts w:asciiTheme="minorHAnsi" w:hAnsiTheme="minorHAnsi" w:cstheme="minorHAnsi"/>
          <w:b/>
          <w:bCs/>
        </w:rPr>
        <w:t xml:space="preserve">VU </w:t>
      </w:r>
      <w:r w:rsidRPr="00896B83">
        <w:rPr>
          <w:rFonts w:asciiTheme="minorHAnsi" w:hAnsiTheme="minorHAnsi" w:cstheme="minorHAnsi"/>
        </w:rPr>
        <w:t xml:space="preserve">l’arrêté </w:t>
      </w:r>
      <w:r w:rsidRPr="005A6D02">
        <w:rPr>
          <w:rFonts w:asciiTheme="minorHAnsi" w:hAnsiTheme="minorHAnsi" w:cstheme="minorHAnsi"/>
        </w:rPr>
        <w:t>préfectoral du</w:t>
      </w:r>
      <w:r w:rsidR="005A6D02" w:rsidRPr="005A6D02">
        <w:rPr>
          <w:rFonts w:asciiTheme="minorHAnsi" w:hAnsiTheme="minorHAnsi" w:cstheme="minorHAnsi"/>
        </w:rPr>
        <w:t xml:space="preserve"> 9 janvier</w:t>
      </w:r>
      <w:r w:rsidRPr="005A6D02">
        <w:rPr>
          <w:rFonts w:asciiTheme="minorHAnsi" w:hAnsiTheme="minorHAnsi" w:cstheme="minorHAnsi"/>
        </w:rPr>
        <w:t xml:space="preserve"> 20</w:t>
      </w:r>
      <w:r w:rsidR="005A6D02" w:rsidRPr="005A6D02">
        <w:rPr>
          <w:rFonts w:asciiTheme="minorHAnsi" w:hAnsiTheme="minorHAnsi" w:cstheme="minorHAnsi"/>
        </w:rPr>
        <w:t>26</w:t>
      </w:r>
      <w:r w:rsidRPr="005A6D02">
        <w:rPr>
          <w:rFonts w:asciiTheme="minorHAnsi" w:hAnsiTheme="minorHAnsi" w:cstheme="minorHAnsi"/>
        </w:rPr>
        <w:t xml:space="preserve"> approuvant l</w:t>
      </w:r>
      <w:r w:rsidR="00C523E3">
        <w:rPr>
          <w:rFonts w:asciiTheme="minorHAnsi" w:hAnsiTheme="minorHAnsi" w:cstheme="minorHAnsi"/>
        </w:rPr>
        <w:t>es nouveaux</w:t>
      </w:r>
      <w:r w:rsidRPr="005A6D02">
        <w:rPr>
          <w:rFonts w:asciiTheme="minorHAnsi" w:hAnsiTheme="minorHAnsi" w:cstheme="minorHAnsi"/>
        </w:rPr>
        <w:t xml:space="preserve"> statuts du SDE22 ; </w:t>
      </w:r>
    </w:p>
    <w:p w14:paraId="6B548CFE" w14:textId="3775DF31" w:rsidR="0079393B" w:rsidRPr="00896B83" w:rsidRDefault="0079393B" w:rsidP="0079393B">
      <w:pPr>
        <w:pStyle w:val="Default"/>
        <w:jc w:val="both"/>
        <w:rPr>
          <w:rFonts w:asciiTheme="minorHAnsi" w:hAnsiTheme="minorHAnsi" w:cstheme="minorHAnsi"/>
        </w:rPr>
      </w:pPr>
      <w:r w:rsidRPr="005A6D02">
        <w:rPr>
          <w:rFonts w:asciiTheme="minorHAnsi" w:hAnsiTheme="minorHAnsi" w:cstheme="minorHAnsi"/>
          <w:b/>
          <w:bCs/>
        </w:rPr>
        <w:t xml:space="preserve">VU </w:t>
      </w:r>
      <w:r w:rsidRPr="005A6D02">
        <w:rPr>
          <w:rFonts w:asciiTheme="minorHAnsi" w:hAnsiTheme="minorHAnsi" w:cstheme="minorHAnsi"/>
        </w:rPr>
        <w:t>les statuts du SDE22, notamment</w:t>
      </w:r>
      <w:r w:rsidR="00E66CCF" w:rsidRPr="005A6D02">
        <w:rPr>
          <w:rFonts w:asciiTheme="minorHAnsi" w:hAnsiTheme="minorHAnsi" w:cstheme="minorHAnsi"/>
        </w:rPr>
        <w:t xml:space="preserve"> les articles </w:t>
      </w:r>
      <w:r w:rsidRPr="005A6D02">
        <w:rPr>
          <w:rFonts w:asciiTheme="minorHAnsi" w:hAnsiTheme="minorHAnsi" w:cstheme="minorHAnsi"/>
        </w:rPr>
        <w:t>concernant la compétence optionnelle</w:t>
      </w:r>
      <w:r w:rsidR="005A6D02" w:rsidRPr="005A6D02">
        <w:rPr>
          <w:rFonts w:asciiTheme="minorHAnsi" w:hAnsiTheme="minorHAnsi" w:cstheme="minorHAnsi"/>
        </w:rPr>
        <w:t xml:space="preserve"> « gaz</w:t>
      </w:r>
      <w:r w:rsidR="005A6D02">
        <w:rPr>
          <w:rFonts w:asciiTheme="minorHAnsi" w:hAnsiTheme="minorHAnsi" w:cstheme="minorHAnsi"/>
        </w:rPr>
        <w:t xml:space="preserve"> </w:t>
      </w:r>
      <w:r w:rsidRPr="005A6D02">
        <w:rPr>
          <w:rFonts w:asciiTheme="minorHAnsi" w:hAnsiTheme="minorHAnsi" w:cstheme="minorHAnsi"/>
        </w:rPr>
        <w:t>» et concernant le transfert de compétences.</w:t>
      </w:r>
      <w:r w:rsidRPr="00896B83">
        <w:rPr>
          <w:rFonts w:asciiTheme="minorHAnsi" w:hAnsiTheme="minorHAnsi" w:cstheme="minorHAnsi"/>
        </w:rPr>
        <w:t xml:space="preserve"> </w:t>
      </w:r>
    </w:p>
    <w:p w14:paraId="25B1E7D5" w14:textId="77777777" w:rsidR="00896B83" w:rsidRDefault="00896B83" w:rsidP="00C2131C">
      <w:pPr>
        <w:pStyle w:val="Default"/>
        <w:rPr>
          <w:rFonts w:asciiTheme="minorHAnsi" w:hAnsiTheme="minorHAnsi" w:cstheme="minorHAnsi"/>
        </w:rPr>
      </w:pPr>
    </w:p>
    <w:p w14:paraId="35179E16" w14:textId="77777777" w:rsidR="00896B83" w:rsidRDefault="00896B83" w:rsidP="00C2131C">
      <w:pPr>
        <w:pStyle w:val="Default"/>
        <w:rPr>
          <w:rFonts w:asciiTheme="minorHAnsi" w:hAnsiTheme="minorHAnsi" w:cstheme="minorHAnsi"/>
        </w:rPr>
      </w:pPr>
    </w:p>
    <w:p w14:paraId="6618854F" w14:textId="512FBA80" w:rsidR="00C2131C" w:rsidRPr="00F91559" w:rsidRDefault="00C2131C" w:rsidP="00896B83">
      <w:pPr>
        <w:pStyle w:val="Default"/>
        <w:jc w:val="both"/>
        <w:rPr>
          <w:rFonts w:asciiTheme="minorHAnsi" w:hAnsiTheme="minorHAnsi" w:cstheme="minorHAnsi"/>
        </w:rPr>
      </w:pPr>
      <w:r w:rsidRPr="00D97722">
        <w:rPr>
          <w:rFonts w:asciiTheme="minorHAnsi" w:hAnsiTheme="minorHAnsi" w:cstheme="minorHAnsi"/>
        </w:rPr>
        <w:t xml:space="preserve">Conformément </w:t>
      </w:r>
      <w:r w:rsidR="00E66CCF" w:rsidRPr="00D97722">
        <w:rPr>
          <w:rFonts w:asciiTheme="minorHAnsi" w:hAnsiTheme="minorHAnsi" w:cstheme="minorHAnsi"/>
        </w:rPr>
        <w:t>aux</w:t>
      </w:r>
      <w:r w:rsidRPr="00D97722">
        <w:rPr>
          <w:rFonts w:asciiTheme="minorHAnsi" w:hAnsiTheme="minorHAnsi" w:cstheme="minorHAnsi"/>
        </w:rPr>
        <w:t xml:space="preserve"> statuts</w:t>
      </w:r>
      <w:r w:rsidR="00E66CCF" w:rsidRPr="00D97722">
        <w:rPr>
          <w:rFonts w:asciiTheme="minorHAnsi" w:hAnsiTheme="minorHAnsi" w:cstheme="minorHAnsi"/>
        </w:rPr>
        <w:t xml:space="preserve"> en vigueur</w:t>
      </w:r>
      <w:r w:rsidRPr="00D97722">
        <w:rPr>
          <w:rFonts w:asciiTheme="minorHAnsi" w:hAnsiTheme="minorHAnsi" w:cstheme="minorHAnsi"/>
        </w:rPr>
        <w:t>, le SDE22</w:t>
      </w:r>
      <w:r w:rsidRPr="00F91559">
        <w:rPr>
          <w:rFonts w:asciiTheme="minorHAnsi" w:hAnsiTheme="minorHAnsi" w:cstheme="minorHAnsi"/>
        </w:rPr>
        <w:t xml:space="preserve"> exerce en lieu et place des membres qui en font la demande, la compétence optionnelle d’autorité organisatrice de distribution de gaz et du service public de fourniture de gaz mentionnée à l’article L. 2224-31 du code général des collectivités territoriales, et notamment : </w:t>
      </w:r>
    </w:p>
    <w:p w14:paraId="55BF274D" w14:textId="77777777" w:rsidR="00896B83" w:rsidRPr="00F91559" w:rsidRDefault="00896B83" w:rsidP="00896B83">
      <w:pPr>
        <w:pStyle w:val="Default"/>
        <w:jc w:val="both"/>
        <w:rPr>
          <w:rFonts w:asciiTheme="minorHAnsi" w:hAnsiTheme="minorHAnsi" w:cstheme="minorHAnsi"/>
        </w:rPr>
      </w:pPr>
    </w:p>
    <w:p w14:paraId="21539BA0" w14:textId="77777777" w:rsidR="00896B83" w:rsidRPr="00996BEE" w:rsidRDefault="00896B83" w:rsidP="00996BEE">
      <w:pPr>
        <w:pStyle w:val="Sansinterligne"/>
        <w:jc w:val="both"/>
        <w:rPr>
          <w:sz w:val="24"/>
          <w:szCs w:val="24"/>
        </w:rPr>
      </w:pPr>
      <w:r w:rsidRPr="00996BEE">
        <w:rPr>
          <w:sz w:val="24"/>
          <w:szCs w:val="24"/>
        </w:rPr>
        <w:t>- passation avec les entreprises délégataires, de tous actes relatifs à la délégation de missions de service public afférentes à l’acheminement de gaz sur le réseau public de distribution de gaz, ainsi qu’à la fourniture de gaz ou exploitation en régie de tout ou partie de ces services ;</w:t>
      </w:r>
    </w:p>
    <w:p w14:paraId="1F861D1F" w14:textId="77777777" w:rsidR="00896B83" w:rsidRPr="00996BEE" w:rsidRDefault="00896B83" w:rsidP="00996BEE">
      <w:pPr>
        <w:pStyle w:val="Sansinterligne"/>
        <w:jc w:val="both"/>
        <w:rPr>
          <w:sz w:val="24"/>
          <w:szCs w:val="24"/>
        </w:rPr>
      </w:pPr>
      <w:r w:rsidRPr="00996BEE">
        <w:rPr>
          <w:sz w:val="24"/>
          <w:szCs w:val="24"/>
        </w:rPr>
        <w:t>- représentation des intérêts des usagers dans leurs relations avec les entreprises délégataires ;</w:t>
      </w:r>
    </w:p>
    <w:p w14:paraId="7717F97D" w14:textId="77777777" w:rsidR="00896B83" w:rsidRPr="00996BEE" w:rsidRDefault="00896B83" w:rsidP="00996BEE">
      <w:pPr>
        <w:pStyle w:val="Sansinterligne"/>
        <w:jc w:val="both"/>
        <w:rPr>
          <w:sz w:val="24"/>
          <w:szCs w:val="24"/>
        </w:rPr>
      </w:pPr>
      <w:r w:rsidRPr="00996BEE">
        <w:rPr>
          <w:sz w:val="24"/>
          <w:szCs w:val="24"/>
        </w:rPr>
        <w:t>- contrôle du bon accomplissement des missions de service public visées ci-dessus, et contrôle du réseau public de distribution de gaz ;</w:t>
      </w:r>
    </w:p>
    <w:p w14:paraId="6DCB1855" w14:textId="77777777" w:rsidR="00896B83" w:rsidRPr="00996BEE" w:rsidRDefault="00896B83" w:rsidP="00996BEE">
      <w:pPr>
        <w:pStyle w:val="Sansinterligne"/>
        <w:jc w:val="both"/>
        <w:rPr>
          <w:sz w:val="24"/>
          <w:szCs w:val="24"/>
        </w:rPr>
      </w:pPr>
      <w:r w:rsidRPr="00996BEE">
        <w:rPr>
          <w:sz w:val="24"/>
          <w:szCs w:val="24"/>
        </w:rPr>
        <w:t>- maîtrise d’ouvrage des investissements sur le réseau public de distribution de gaz, soit exercée en direct en tant qu’opérateur de réseau, soit dévolue aux entreprises délégataires ;</w:t>
      </w:r>
    </w:p>
    <w:p w14:paraId="237172B0" w14:textId="77777777" w:rsidR="00896B83" w:rsidRPr="00996BEE" w:rsidRDefault="00896B83" w:rsidP="00996BEE">
      <w:pPr>
        <w:pStyle w:val="Sansinterligne"/>
        <w:jc w:val="both"/>
        <w:rPr>
          <w:sz w:val="24"/>
          <w:szCs w:val="24"/>
        </w:rPr>
      </w:pPr>
      <w:r w:rsidRPr="00996BEE">
        <w:rPr>
          <w:sz w:val="24"/>
          <w:szCs w:val="24"/>
        </w:rPr>
        <w:t>- réalisation dans le cadre des dispositions législatives et réglementaires, directement par le Syndicat ou, par l’intermédiaire d’un délégataire, des actions tendant à maîtriser la demande de gaz à stocker, à produire, ou injecter du gaz ou développer des réseaux intelligents;</w:t>
      </w:r>
    </w:p>
    <w:p w14:paraId="52497C83" w14:textId="77777777" w:rsidR="00896B83" w:rsidRPr="00996BEE" w:rsidRDefault="00896B83" w:rsidP="00996BEE">
      <w:pPr>
        <w:pStyle w:val="Sansinterligne"/>
        <w:jc w:val="both"/>
        <w:rPr>
          <w:sz w:val="24"/>
          <w:szCs w:val="24"/>
        </w:rPr>
      </w:pPr>
      <w:r w:rsidRPr="00996BEE">
        <w:rPr>
          <w:sz w:val="24"/>
          <w:szCs w:val="24"/>
        </w:rPr>
        <w:t xml:space="preserve">- Exercice des missions de conciliation en vue du règlement de différends relatifs à la fourniture de gaz de dernier recours </w:t>
      </w:r>
    </w:p>
    <w:p w14:paraId="683A9EBB" w14:textId="77777777" w:rsidR="00896B83" w:rsidRPr="00996BEE" w:rsidRDefault="00896B83" w:rsidP="00996BEE">
      <w:pPr>
        <w:pStyle w:val="Sansinterligne"/>
        <w:jc w:val="both"/>
        <w:rPr>
          <w:bCs/>
          <w:sz w:val="24"/>
          <w:szCs w:val="24"/>
        </w:rPr>
      </w:pPr>
      <w:r w:rsidRPr="00996BEE">
        <w:rPr>
          <w:bCs/>
          <w:sz w:val="24"/>
          <w:szCs w:val="24"/>
        </w:rPr>
        <w:t>- Exercice des missions visées à l’article 21 de la loi du 7 décembre 2010 qui prévoit l’élaboration d’un programme prévisionnel d’investissement des travaux sur le réseau de distribution au cours d’une conférence départementale.</w:t>
      </w:r>
    </w:p>
    <w:p w14:paraId="2BE8506A" w14:textId="77777777" w:rsidR="00896B83" w:rsidRPr="00996BEE" w:rsidRDefault="00896B83" w:rsidP="00996BEE">
      <w:pPr>
        <w:pStyle w:val="Sansinterligne"/>
        <w:jc w:val="both"/>
        <w:rPr>
          <w:sz w:val="24"/>
          <w:szCs w:val="24"/>
        </w:rPr>
      </w:pPr>
      <w:r w:rsidRPr="00996BEE">
        <w:rPr>
          <w:sz w:val="24"/>
          <w:szCs w:val="24"/>
        </w:rPr>
        <w:t>- représentation des membres dans tous les cas où les lois et règlements en vigueur prévoient que ceux-ci doivent être représentés ou consultés ;</w:t>
      </w:r>
    </w:p>
    <w:p w14:paraId="0A61BC3E" w14:textId="77777777" w:rsidR="00896B83" w:rsidRPr="00996BEE" w:rsidRDefault="00896B83" w:rsidP="00996BEE">
      <w:pPr>
        <w:pStyle w:val="Sansinterligne"/>
        <w:jc w:val="both"/>
        <w:rPr>
          <w:sz w:val="24"/>
          <w:szCs w:val="24"/>
        </w:rPr>
      </w:pPr>
      <w:r w:rsidRPr="00996BEE">
        <w:rPr>
          <w:sz w:val="24"/>
          <w:szCs w:val="24"/>
        </w:rPr>
        <w:t>- organisation de services d’études, administratifs, juridiques et techniques en vue de l’examen pour le compte du Syndicat et des membres de toutes questions intéressant le fonctionnement du service public du gaz.</w:t>
      </w:r>
    </w:p>
    <w:p w14:paraId="627F3FCF" w14:textId="77777777" w:rsidR="00896B83" w:rsidRPr="00996BEE" w:rsidRDefault="00896B83" w:rsidP="00996BEE">
      <w:pPr>
        <w:pStyle w:val="Sansinterligne"/>
        <w:jc w:val="both"/>
        <w:rPr>
          <w:b/>
          <w:bCs/>
          <w:sz w:val="24"/>
          <w:szCs w:val="24"/>
        </w:rPr>
      </w:pPr>
      <w:r w:rsidRPr="00996BEE">
        <w:rPr>
          <w:sz w:val="24"/>
          <w:szCs w:val="24"/>
        </w:rPr>
        <w:t>- participation à l’étude, la réalisation et au financement des travaux de premier établissement et mise à jour des données géographiques et alphanumériques et de tous documents numérisés concernant les réseaux, ainsi qu’à l’intégration et la gestion des moyens de diffusion des données traitées</w:t>
      </w:r>
      <w:r w:rsidRPr="00996BEE">
        <w:rPr>
          <w:b/>
          <w:bCs/>
          <w:sz w:val="24"/>
          <w:szCs w:val="24"/>
        </w:rPr>
        <w:t>.</w:t>
      </w:r>
    </w:p>
    <w:p w14:paraId="46BFC543" w14:textId="77777777" w:rsidR="00C2131C" w:rsidRPr="00F91559" w:rsidRDefault="00C2131C" w:rsidP="00996BEE">
      <w:pPr>
        <w:pStyle w:val="Sansinterligne"/>
      </w:pPr>
    </w:p>
    <w:p w14:paraId="45FF65BE" w14:textId="77777777" w:rsidR="00C2131C" w:rsidRDefault="00F91559" w:rsidP="00896B83">
      <w:pPr>
        <w:pStyle w:val="Default"/>
        <w:jc w:val="both"/>
        <w:rPr>
          <w:rFonts w:asciiTheme="minorHAnsi" w:hAnsiTheme="minorHAnsi" w:cstheme="minorHAnsi"/>
        </w:rPr>
      </w:pPr>
      <w:r>
        <w:rPr>
          <w:rFonts w:asciiTheme="minorHAnsi" w:hAnsiTheme="minorHAnsi" w:cstheme="minorHAnsi"/>
        </w:rPr>
        <w:t>A ce titre, M.</w:t>
      </w:r>
      <w:r w:rsidR="00C2131C" w:rsidRPr="00896B83">
        <w:rPr>
          <w:rFonts w:asciiTheme="minorHAnsi" w:hAnsiTheme="minorHAnsi" w:cstheme="minorHAnsi"/>
        </w:rPr>
        <w:t xml:space="preserve"> Le Maire</w:t>
      </w:r>
      <w:r>
        <w:rPr>
          <w:rFonts w:asciiTheme="minorHAnsi" w:hAnsiTheme="minorHAnsi" w:cstheme="minorHAnsi"/>
        </w:rPr>
        <w:t xml:space="preserve"> </w:t>
      </w:r>
      <w:r w:rsidR="00C2131C" w:rsidRPr="00896B83">
        <w:rPr>
          <w:rFonts w:asciiTheme="minorHAnsi" w:hAnsiTheme="minorHAnsi" w:cstheme="minorHAnsi"/>
        </w:rPr>
        <w:t xml:space="preserve">expose au conseil municipal l’intérêt de transférer la compétence d’autorité organisatrice de la distribution publique de gaz au SDE22, en particulier pour les raisons suivantes : </w:t>
      </w:r>
    </w:p>
    <w:p w14:paraId="71EF1205" w14:textId="77777777" w:rsidR="00F91559" w:rsidRPr="00896B83" w:rsidRDefault="00F91559" w:rsidP="00896B83">
      <w:pPr>
        <w:pStyle w:val="Default"/>
        <w:jc w:val="both"/>
        <w:rPr>
          <w:rFonts w:asciiTheme="minorHAnsi" w:hAnsiTheme="minorHAnsi" w:cstheme="minorHAnsi"/>
        </w:rPr>
      </w:pPr>
    </w:p>
    <w:p w14:paraId="7B934E83" w14:textId="77777777" w:rsidR="00C2131C" w:rsidRPr="00896B83" w:rsidRDefault="00C2131C" w:rsidP="00896B83">
      <w:pPr>
        <w:pStyle w:val="Default"/>
        <w:jc w:val="both"/>
        <w:rPr>
          <w:rFonts w:asciiTheme="minorHAnsi" w:hAnsiTheme="minorHAnsi" w:cstheme="minorHAnsi"/>
        </w:rPr>
      </w:pPr>
      <w:r w:rsidRPr="00896B83">
        <w:rPr>
          <w:rFonts w:asciiTheme="minorHAnsi" w:hAnsiTheme="minorHAnsi" w:cstheme="minorHAnsi"/>
        </w:rPr>
        <w:t xml:space="preserve">• Le caractère technique de cette compétence et des missions qui s’y rattachent ; </w:t>
      </w:r>
    </w:p>
    <w:p w14:paraId="5D37EBCD" w14:textId="77777777" w:rsidR="00C2131C" w:rsidRPr="00896B83" w:rsidRDefault="00C2131C" w:rsidP="00896B83">
      <w:pPr>
        <w:pStyle w:val="Default"/>
        <w:jc w:val="both"/>
        <w:rPr>
          <w:rFonts w:asciiTheme="minorHAnsi" w:hAnsiTheme="minorHAnsi" w:cstheme="minorHAnsi"/>
        </w:rPr>
      </w:pPr>
      <w:r w:rsidRPr="00896B83">
        <w:rPr>
          <w:rFonts w:asciiTheme="minorHAnsi" w:hAnsiTheme="minorHAnsi" w:cstheme="minorHAnsi"/>
        </w:rPr>
        <w:lastRenderedPageBreak/>
        <w:t xml:space="preserve">• La nécessité de disposer de moyens humains, techniques et financiers qui ne peuvent être assurés qu’au sein d’une structure de coopération dédiée ; </w:t>
      </w:r>
    </w:p>
    <w:p w14:paraId="455E0D2F" w14:textId="77777777" w:rsidR="00C2131C" w:rsidRPr="00896B83" w:rsidRDefault="00C2131C" w:rsidP="00896B83">
      <w:pPr>
        <w:pStyle w:val="Default"/>
        <w:jc w:val="both"/>
        <w:rPr>
          <w:rFonts w:asciiTheme="minorHAnsi" w:hAnsiTheme="minorHAnsi" w:cstheme="minorHAnsi"/>
        </w:rPr>
      </w:pPr>
      <w:r w:rsidRPr="00896B83">
        <w:rPr>
          <w:rFonts w:asciiTheme="minorHAnsi" w:hAnsiTheme="minorHAnsi" w:cstheme="minorHAnsi"/>
        </w:rPr>
        <w:t xml:space="preserve">• Les enjeux de sécurité et de qualité de la desserte gazière ; </w:t>
      </w:r>
    </w:p>
    <w:p w14:paraId="442CABA0" w14:textId="77777777" w:rsidR="0079393B" w:rsidRDefault="00C2131C" w:rsidP="00896B83">
      <w:pPr>
        <w:pStyle w:val="Default"/>
        <w:jc w:val="both"/>
        <w:rPr>
          <w:rFonts w:asciiTheme="minorHAnsi" w:hAnsiTheme="minorHAnsi" w:cstheme="minorHAnsi"/>
        </w:rPr>
      </w:pPr>
      <w:r w:rsidRPr="00896B83">
        <w:rPr>
          <w:rFonts w:asciiTheme="minorHAnsi" w:hAnsiTheme="minorHAnsi" w:cstheme="minorHAnsi"/>
        </w:rPr>
        <w:t xml:space="preserve">• Le développement du réseau public de distribution organisé dans un souci d’aménagement du territoire et de cohésion territoriale, selon une approche supra-communale et multi-énergies, électricité et gaz notamment. </w:t>
      </w:r>
    </w:p>
    <w:p w14:paraId="00C0F404" w14:textId="77777777" w:rsidR="00C2131C" w:rsidRPr="00896B83" w:rsidRDefault="00C2131C" w:rsidP="00896B83">
      <w:pPr>
        <w:pStyle w:val="Default"/>
        <w:jc w:val="both"/>
        <w:rPr>
          <w:rFonts w:asciiTheme="minorHAnsi" w:hAnsiTheme="minorHAnsi" w:cstheme="minorHAnsi"/>
        </w:rPr>
      </w:pPr>
    </w:p>
    <w:p w14:paraId="055DFD98" w14:textId="03AE199F" w:rsidR="00C2131C" w:rsidRDefault="0079393B" w:rsidP="00896B83">
      <w:pPr>
        <w:pStyle w:val="Default"/>
        <w:jc w:val="both"/>
        <w:rPr>
          <w:rFonts w:asciiTheme="minorHAnsi" w:hAnsiTheme="minorHAnsi" w:cstheme="minorHAnsi"/>
        </w:rPr>
      </w:pPr>
      <w:r w:rsidRPr="002E00E8">
        <w:rPr>
          <w:rFonts w:asciiTheme="minorHAnsi" w:hAnsiTheme="minorHAnsi" w:cstheme="minorHAnsi"/>
        </w:rPr>
        <w:t xml:space="preserve">Selon </w:t>
      </w:r>
      <w:r w:rsidR="00D97722" w:rsidRPr="00D97722">
        <w:rPr>
          <w:rFonts w:asciiTheme="minorHAnsi" w:hAnsiTheme="minorHAnsi" w:cstheme="minorHAnsi"/>
        </w:rPr>
        <w:t>l</w:t>
      </w:r>
      <w:r w:rsidRPr="00D97722">
        <w:rPr>
          <w:rFonts w:asciiTheme="minorHAnsi" w:hAnsiTheme="minorHAnsi" w:cstheme="minorHAnsi"/>
        </w:rPr>
        <w:t>es</w:t>
      </w:r>
      <w:r w:rsidRPr="002E00E8">
        <w:rPr>
          <w:rFonts w:asciiTheme="minorHAnsi" w:hAnsiTheme="minorHAnsi" w:cstheme="minorHAnsi"/>
        </w:rPr>
        <w:t xml:space="preserve"> statuts du SDE22, l</w:t>
      </w:r>
      <w:r w:rsidR="00C2131C" w:rsidRPr="002E00E8">
        <w:rPr>
          <w:rFonts w:asciiTheme="minorHAnsi" w:hAnsiTheme="minorHAnsi" w:cstheme="minorHAnsi"/>
        </w:rPr>
        <w:t xml:space="preserve">e transfert de cette compétence optionnelle « Gaz » prend effet à la </w:t>
      </w:r>
      <w:r w:rsidRPr="002E00E8">
        <w:rPr>
          <w:rFonts w:asciiTheme="minorHAnsi" w:hAnsiTheme="minorHAnsi" w:cstheme="minorHAnsi"/>
        </w:rPr>
        <w:t>date du premier jour du mois suivant la date à laquelle la délibération de l'assemblée délibérante est devenue exécutoire</w:t>
      </w:r>
      <w:r w:rsidR="002E00E8">
        <w:rPr>
          <w:rFonts w:asciiTheme="minorHAnsi" w:hAnsiTheme="minorHAnsi" w:cstheme="minorHAnsi"/>
        </w:rPr>
        <w:t>.</w:t>
      </w:r>
    </w:p>
    <w:p w14:paraId="49198AC7" w14:textId="73EDDFF6" w:rsidR="00D97722" w:rsidRDefault="00D97722" w:rsidP="00896B83">
      <w:pPr>
        <w:pStyle w:val="Default"/>
        <w:jc w:val="both"/>
        <w:rPr>
          <w:rFonts w:asciiTheme="minorHAnsi" w:hAnsiTheme="minorHAnsi" w:cstheme="minorHAnsi"/>
        </w:rPr>
      </w:pPr>
    </w:p>
    <w:p w14:paraId="07B5E13F" w14:textId="5877E24E" w:rsidR="00D97722" w:rsidRDefault="00D97722" w:rsidP="00896B83">
      <w:pPr>
        <w:pStyle w:val="Default"/>
        <w:jc w:val="both"/>
        <w:rPr>
          <w:rFonts w:asciiTheme="minorHAnsi" w:hAnsiTheme="minorHAnsi" w:cstheme="minorHAnsi"/>
        </w:rPr>
      </w:pPr>
      <w:r w:rsidRPr="00D97722">
        <w:rPr>
          <w:rFonts w:asciiTheme="minorHAnsi" w:hAnsiTheme="minorHAnsi" w:cstheme="minorHAnsi"/>
          <w:i/>
          <w:iCs/>
        </w:rPr>
        <w:t>Ce transfert implique la perte de la redevance R1 relative au contrôle de concession et initialement versée par GRDF. La Redevance d’occupation du domaine public (RODP) reste versée à la commune</w:t>
      </w:r>
      <w:r>
        <w:rPr>
          <w:rFonts w:asciiTheme="minorHAnsi" w:hAnsiTheme="minorHAnsi" w:cstheme="minorHAnsi"/>
        </w:rPr>
        <w:t>.</w:t>
      </w:r>
    </w:p>
    <w:p w14:paraId="01D67648" w14:textId="77777777" w:rsidR="002E00E8" w:rsidRDefault="002E00E8" w:rsidP="00896B83">
      <w:pPr>
        <w:pStyle w:val="Default"/>
        <w:jc w:val="both"/>
        <w:rPr>
          <w:rFonts w:asciiTheme="minorHAnsi" w:hAnsiTheme="minorHAnsi" w:cstheme="minorHAnsi"/>
        </w:rPr>
      </w:pPr>
    </w:p>
    <w:p w14:paraId="1B8460C3" w14:textId="77777777" w:rsidR="002E00E8" w:rsidRDefault="002E00E8" w:rsidP="00896B83">
      <w:pPr>
        <w:pStyle w:val="Default"/>
        <w:jc w:val="both"/>
        <w:rPr>
          <w:rFonts w:asciiTheme="minorHAnsi" w:hAnsiTheme="minorHAnsi" w:cstheme="minorHAnsi"/>
        </w:rPr>
      </w:pPr>
    </w:p>
    <w:p w14:paraId="4080E0AD" w14:textId="77777777" w:rsidR="002E00E8" w:rsidRDefault="002E00E8" w:rsidP="002E00E8">
      <w:pPr>
        <w:pStyle w:val="Default"/>
        <w:jc w:val="both"/>
        <w:rPr>
          <w:rFonts w:asciiTheme="minorHAnsi" w:hAnsiTheme="minorHAnsi" w:cstheme="minorHAnsi"/>
        </w:rPr>
      </w:pPr>
      <w:r w:rsidRPr="00896B83">
        <w:rPr>
          <w:rFonts w:asciiTheme="minorHAnsi" w:hAnsiTheme="minorHAnsi" w:cstheme="minorHAnsi"/>
        </w:rPr>
        <w:t xml:space="preserve">Après en avoir délibéré, </w:t>
      </w:r>
      <w:r>
        <w:rPr>
          <w:rFonts w:asciiTheme="minorHAnsi" w:hAnsiTheme="minorHAnsi" w:cstheme="minorHAnsi"/>
        </w:rPr>
        <w:t xml:space="preserve">le conseil municipal </w:t>
      </w:r>
    </w:p>
    <w:p w14:paraId="2B381EF8" w14:textId="77777777" w:rsidR="002E00E8" w:rsidRPr="00896B83" w:rsidRDefault="002E00E8" w:rsidP="002E00E8">
      <w:pPr>
        <w:pStyle w:val="Default"/>
        <w:jc w:val="both"/>
        <w:rPr>
          <w:rFonts w:asciiTheme="minorHAnsi" w:hAnsiTheme="minorHAnsi" w:cstheme="minorHAnsi"/>
        </w:rPr>
      </w:pPr>
      <w:r w:rsidRPr="00896B83">
        <w:rPr>
          <w:rFonts w:asciiTheme="minorHAnsi" w:hAnsiTheme="minorHAnsi" w:cstheme="minorHAnsi"/>
        </w:rPr>
        <w:t xml:space="preserve"> </w:t>
      </w:r>
    </w:p>
    <w:p w14:paraId="2308ECEF" w14:textId="77777777" w:rsidR="002E00E8" w:rsidRDefault="002E00E8" w:rsidP="002E00E8">
      <w:pPr>
        <w:pStyle w:val="Default"/>
        <w:jc w:val="both"/>
        <w:rPr>
          <w:rFonts w:asciiTheme="minorHAnsi" w:hAnsiTheme="minorHAnsi" w:cstheme="minorHAnsi"/>
        </w:rPr>
      </w:pPr>
      <w:r w:rsidRPr="00896B83">
        <w:rPr>
          <w:rFonts w:asciiTheme="minorHAnsi" w:hAnsiTheme="minorHAnsi" w:cstheme="minorHAnsi"/>
          <w:b/>
          <w:bCs/>
        </w:rPr>
        <w:t xml:space="preserve">Décide </w:t>
      </w:r>
      <w:r w:rsidRPr="00896B83">
        <w:rPr>
          <w:rFonts w:asciiTheme="minorHAnsi" w:hAnsiTheme="minorHAnsi" w:cstheme="minorHAnsi"/>
        </w:rPr>
        <w:t xml:space="preserve">: </w:t>
      </w:r>
    </w:p>
    <w:p w14:paraId="28764253" w14:textId="77777777" w:rsidR="002E00E8" w:rsidRPr="00896B83" w:rsidRDefault="002E00E8" w:rsidP="002E00E8">
      <w:pPr>
        <w:pStyle w:val="Default"/>
        <w:jc w:val="both"/>
        <w:rPr>
          <w:rFonts w:asciiTheme="minorHAnsi" w:hAnsiTheme="minorHAnsi" w:cstheme="minorHAnsi"/>
        </w:rPr>
      </w:pPr>
    </w:p>
    <w:p w14:paraId="5BDB3827" w14:textId="77777777" w:rsidR="002E00E8" w:rsidRDefault="002E00E8" w:rsidP="002E00E8">
      <w:pPr>
        <w:pStyle w:val="Default"/>
        <w:jc w:val="both"/>
        <w:rPr>
          <w:rFonts w:asciiTheme="minorHAnsi" w:hAnsiTheme="minorHAnsi" w:cstheme="minorHAnsi"/>
        </w:rPr>
      </w:pPr>
      <w:r w:rsidRPr="00896B83">
        <w:rPr>
          <w:rFonts w:asciiTheme="minorHAnsi" w:hAnsiTheme="minorHAnsi" w:cstheme="minorHAnsi"/>
        </w:rPr>
        <w:t xml:space="preserve">• </w:t>
      </w:r>
      <w:r w:rsidR="00996BEE">
        <w:rPr>
          <w:rFonts w:asciiTheme="minorHAnsi" w:hAnsiTheme="minorHAnsi" w:cstheme="minorHAnsi"/>
        </w:rPr>
        <w:t>du</w:t>
      </w:r>
      <w:r w:rsidRPr="00896B83">
        <w:rPr>
          <w:rFonts w:asciiTheme="minorHAnsi" w:hAnsiTheme="minorHAnsi" w:cstheme="minorHAnsi"/>
        </w:rPr>
        <w:t xml:space="preserve"> transfert de la compétence gaz au SDE</w:t>
      </w:r>
      <w:r>
        <w:rPr>
          <w:rFonts w:asciiTheme="minorHAnsi" w:hAnsiTheme="minorHAnsi" w:cstheme="minorHAnsi"/>
        </w:rPr>
        <w:t>22</w:t>
      </w:r>
    </w:p>
    <w:p w14:paraId="04060D62" w14:textId="77777777" w:rsidR="002E00E8" w:rsidRDefault="002E00E8" w:rsidP="002E00E8">
      <w:pPr>
        <w:pStyle w:val="Default"/>
        <w:jc w:val="both"/>
        <w:rPr>
          <w:rFonts w:asciiTheme="minorHAnsi" w:hAnsiTheme="minorHAnsi" w:cstheme="minorHAnsi"/>
        </w:rPr>
      </w:pPr>
    </w:p>
    <w:p w14:paraId="773C1A93" w14:textId="6F70D1EE" w:rsidR="002E00E8" w:rsidRPr="00896B83" w:rsidRDefault="002E00E8" w:rsidP="002E00E8">
      <w:pPr>
        <w:pStyle w:val="Default"/>
        <w:jc w:val="both"/>
        <w:rPr>
          <w:rFonts w:asciiTheme="minorHAnsi" w:hAnsiTheme="minorHAnsi" w:cstheme="minorHAnsi"/>
        </w:rPr>
      </w:pPr>
      <w:r w:rsidRPr="00896B83">
        <w:rPr>
          <w:rFonts w:asciiTheme="minorHAnsi" w:hAnsiTheme="minorHAnsi" w:cstheme="minorHAnsi"/>
        </w:rPr>
        <w:t xml:space="preserve">• D’autoriser </w:t>
      </w:r>
      <w:proofErr w:type="gramStart"/>
      <w:r w:rsidRPr="00896B83">
        <w:rPr>
          <w:rFonts w:asciiTheme="minorHAnsi" w:hAnsiTheme="minorHAnsi" w:cstheme="minorHAnsi"/>
        </w:rPr>
        <w:t>M.</w:t>
      </w:r>
      <w:r w:rsidR="005A6D02">
        <w:rPr>
          <w:rFonts w:asciiTheme="minorHAnsi" w:hAnsiTheme="minorHAnsi" w:cstheme="minorHAnsi"/>
        </w:rPr>
        <w:t>(</w:t>
      </w:r>
      <w:proofErr w:type="gramEnd"/>
      <w:r w:rsidR="005A6D02">
        <w:rPr>
          <w:rFonts w:asciiTheme="minorHAnsi" w:hAnsiTheme="minorHAnsi" w:cstheme="minorHAnsi"/>
        </w:rPr>
        <w:t>Mme)</w:t>
      </w:r>
      <w:r w:rsidRPr="00896B83">
        <w:rPr>
          <w:rFonts w:asciiTheme="minorHAnsi" w:hAnsiTheme="minorHAnsi" w:cstheme="minorHAnsi"/>
        </w:rPr>
        <w:t xml:space="preserve"> le Maire à signer tous les documents relatifs à ce transfert de compétence. </w:t>
      </w:r>
    </w:p>
    <w:p w14:paraId="57D47F86" w14:textId="77777777" w:rsidR="002E00E8" w:rsidRPr="00896B83" w:rsidRDefault="002E00E8" w:rsidP="002E00E8">
      <w:pPr>
        <w:pStyle w:val="Default"/>
        <w:jc w:val="both"/>
        <w:rPr>
          <w:rFonts w:asciiTheme="minorHAnsi" w:hAnsiTheme="minorHAnsi" w:cstheme="minorHAnsi"/>
        </w:rPr>
      </w:pPr>
    </w:p>
    <w:p w14:paraId="0E2D16EB" w14:textId="77777777" w:rsidR="002E00E8" w:rsidRPr="00896B83" w:rsidRDefault="002E00E8" w:rsidP="002E00E8">
      <w:pPr>
        <w:pStyle w:val="Default"/>
        <w:jc w:val="both"/>
        <w:rPr>
          <w:rFonts w:asciiTheme="minorHAnsi" w:hAnsiTheme="minorHAnsi" w:cstheme="minorHAnsi"/>
        </w:rPr>
      </w:pPr>
      <w:r w:rsidRPr="00896B83">
        <w:rPr>
          <w:rFonts w:asciiTheme="minorHAnsi" w:hAnsiTheme="minorHAnsi" w:cstheme="minorHAnsi"/>
        </w:rPr>
        <w:t xml:space="preserve">Fait et délibéré en séance le… </w:t>
      </w:r>
    </w:p>
    <w:p w14:paraId="72D4E3AD" w14:textId="77777777" w:rsidR="002E00E8" w:rsidRPr="00896B83" w:rsidRDefault="002E00E8" w:rsidP="002E00E8">
      <w:pPr>
        <w:jc w:val="both"/>
        <w:rPr>
          <w:rFonts w:cstheme="minorHAnsi"/>
          <w:sz w:val="24"/>
          <w:szCs w:val="24"/>
        </w:rPr>
      </w:pPr>
      <w:r w:rsidRPr="00896B83">
        <w:rPr>
          <w:rFonts w:cstheme="minorHAnsi"/>
          <w:sz w:val="24"/>
          <w:szCs w:val="24"/>
        </w:rPr>
        <w:t>Le Maire…</w:t>
      </w:r>
    </w:p>
    <w:sectPr w:rsidR="002E00E8" w:rsidRPr="00896B83" w:rsidSect="005A6D0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smos">
    <w:altName w:val="Cosmo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7716F"/>
    <w:multiLevelType w:val="hybridMultilevel"/>
    <w:tmpl w:val="0AE8AF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21A6905"/>
    <w:multiLevelType w:val="hybridMultilevel"/>
    <w:tmpl w:val="427613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C2E3998"/>
    <w:multiLevelType w:val="hybridMultilevel"/>
    <w:tmpl w:val="9294A890"/>
    <w:lvl w:ilvl="0" w:tplc="374E05B0">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C837207"/>
    <w:multiLevelType w:val="hybridMultilevel"/>
    <w:tmpl w:val="257A37A2"/>
    <w:lvl w:ilvl="0" w:tplc="9A9CD648">
      <w:start w:val="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31C"/>
    <w:rsid w:val="001904EB"/>
    <w:rsid w:val="00292C18"/>
    <w:rsid w:val="002E00E8"/>
    <w:rsid w:val="004212AE"/>
    <w:rsid w:val="005A6D02"/>
    <w:rsid w:val="006A2049"/>
    <w:rsid w:val="006D77D2"/>
    <w:rsid w:val="00742B1B"/>
    <w:rsid w:val="0079393B"/>
    <w:rsid w:val="00805A2C"/>
    <w:rsid w:val="00834985"/>
    <w:rsid w:val="00896B83"/>
    <w:rsid w:val="00996BEE"/>
    <w:rsid w:val="00A2174F"/>
    <w:rsid w:val="00A66FBC"/>
    <w:rsid w:val="00AB73BA"/>
    <w:rsid w:val="00C2131C"/>
    <w:rsid w:val="00C449F1"/>
    <w:rsid w:val="00C523E3"/>
    <w:rsid w:val="00D97722"/>
    <w:rsid w:val="00E02A9F"/>
    <w:rsid w:val="00E66CCF"/>
    <w:rsid w:val="00F915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409DF"/>
  <w15:docId w15:val="{6A4952A5-A7E7-4D84-AF3E-E46F4AC4C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B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2131C"/>
    <w:pPr>
      <w:autoSpaceDE w:val="0"/>
      <w:autoSpaceDN w:val="0"/>
      <w:adjustRightInd w:val="0"/>
      <w:spacing w:after="0" w:line="240" w:lineRule="auto"/>
    </w:pPr>
    <w:rPr>
      <w:rFonts w:ascii="Cosmos" w:hAnsi="Cosmos" w:cs="Cosmos"/>
      <w:color w:val="000000"/>
      <w:sz w:val="24"/>
      <w:szCs w:val="24"/>
    </w:rPr>
  </w:style>
  <w:style w:type="paragraph" w:styleId="Textedebulles">
    <w:name w:val="Balloon Text"/>
    <w:basedOn w:val="Normal"/>
    <w:link w:val="TextedebullesCar"/>
    <w:uiPriority w:val="99"/>
    <w:semiHidden/>
    <w:unhideWhenUsed/>
    <w:rsid w:val="00896B8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96B83"/>
    <w:rPr>
      <w:rFonts w:ascii="Tahoma" w:hAnsi="Tahoma" w:cs="Tahoma"/>
      <w:sz w:val="16"/>
      <w:szCs w:val="16"/>
    </w:rPr>
  </w:style>
  <w:style w:type="paragraph" w:styleId="Paragraphedeliste">
    <w:name w:val="List Paragraph"/>
    <w:basedOn w:val="Normal"/>
    <w:uiPriority w:val="34"/>
    <w:qFormat/>
    <w:rsid w:val="00896B83"/>
    <w:pPr>
      <w:ind w:left="720"/>
      <w:contextualSpacing/>
    </w:pPr>
  </w:style>
  <w:style w:type="paragraph" w:styleId="Sansinterligne">
    <w:name w:val="No Spacing"/>
    <w:uiPriority w:val="1"/>
    <w:qFormat/>
    <w:rsid w:val="00996B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3476</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4100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userdefault</dc:creator>
  <cp:lastModifiedBy>TIRELL, Nolwenn</cp:lastModifiedBy>
  <cp:revision>2</cp:revision>
  <cp:lastPrinted>2025-09-10T15:07:00Z</cp:lastPrinted>
  <dcterms:created xsi:type="dcterms:W3CDTF">2026-03-25T15:36:00Z</dcterms:created>
  <dcterms:modified xsi:type="dcterms:W3CDTF">2026-03-25T15:36:00Z</dcterms:modified>
</cp:coreProperties>
</file>