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8B36" w14:textId="4DA995A6" w:rsidR="00A63716" w:rsidRDefault="00710C5D" w:rsidP="00135D7E">
      <w:pPr>
        <w:ind w:hanging="142"/>
        <w:rPr>
          <w:sz w:val="36"/>
          <w:szCs w:val="36"/>
        </w:rPr>
      </w:pPr>
      <w:r>
        <w:rPr>
          <w:noProof/>
          <w:sz w:val="36"/>
          <w:szCs w:val="36"/>
          <w:lang w:eastAsia="fr-FR"/>
        </w:rPr>
        <mc:AlternateContent>
          <mc:Choice Requires="wps">
            <w:drawing>
              <wp:anchor distT="0" distB="0" distL="114300" distR="114300" simplePos="0" relativeHeight="251660288" behindDoc="0" locked="0" layoutInCell="1" allowOverlap="1" wp14:anchorId="6EEB17AB" wp14:editId="2AFEFD1A">
                <wp:simplePos x="0" y="0"/>
                <wp:positionH relativeFrom="column">
                  <wp:posOffset>2681605</wp:posOffset>
                </wp:positionH>
                <wp:positionV relativeFrom="paragraph">
                  <wp:posOffset>169545</wp:posOffset>
                </wp:positionV>
                <wp:extent cx="3440430" cy="563880"/>
                <wp:effectExtent l="0" t="0" r="26670"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563880"/>
                        </a:xfrm>
                        <a:prstGeom prst="rect">
                          <a:avLst/>
                        </a:prstGeom>
                        <a:solidFill>
                          <a:srgbClr val="FFFFFF"/>
                        </a:solidFill>
                        <a:ln w="9525">
                          <a:solidFill>
                            <a:schemeClr val="bg1">
                              <a:lumMod val="100000"/>
                              <a:lumOff val="0"/>
                            </a:schemeClr>
                          </a:solidFill>
                          <a:miter lim="800000"/>
                          <a:headEnd/>
                          <a:tailEnd/>
                        </a:ln>
                      </wps:spPr>
                      <wps:txbx>
                        <w:txbxContent>
                          <w:p w14:paraId="1ABDC42E" w14:textId="1223A514" w:rsidR="0054392A" w:rsidRPr="008906A1" w:rsidRDefault="008906A1" w:rsidP="008906A1">
                            <w:pPr>
                              <w:jc w:val="center"/>
                              <w:rPr>
                                <w:sz w:val="36"/>
                                <w:szCs w:val="36"/>
                              </w:rPr>
                            </w:pPr>
                            <w:r w:rsidRPr="007875DB">
                              <w:rPr>
                                <w:sz w:val="36"/>
                                <w:szCs w:val="36"/>
                                <w:highlight w:val="yellow"/>
                              </w:rPr>
                              <w:t>Logo EPCI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EB17AB" id="_x0000_t202" coordsize="21600,21600" o:spt="202" path="m,l,21600r21600,l21600,xe">
                <v:stroke joinstyle="miter"/>
                <v:path gradientshapeok="t" o:connecttype="rect"/>
              </v:shapetype>
              <v:shape id="Text Box 2" o:spid="_x0000_s1026" type="#_x0000_t202" style="position:absolute;margin-left:211.15pt;margin-top:13.35pt;width:270.9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" strokecolor="white [3212]">
                <v:textbox>
                  <w:txbxContent>
                    <w:p w14:paraId="1ABDC42E" w14:textId="1223A514" w:rsidR="0054392A" w:rsidRPr="008906A1" w:rsidRDefault="008906A1" w:rsidP="008906A1">
                      <w:pPr>
                        <w:jc w:val="center"/>
                        <w:rPr>
                          <w:sz w:val="36"/>
                          <w:szCs w:val="36"/>
                        </w:rPr>
                      </w:pPr>
                      <w:r w:rsidRPr="007875DB">
                        <w:rPr>
                          <w:sz w:val="36"/>
                          <w:szCs w:val="36"/>
                          <w:highlight w:val="yellow"/>
                        </w:rPr>
                        <w:t>Logo EPCI</w:t>
                      </w:r>
                    </w:p>
                  </w:txbxContent>
                </v:textbox>
              </v:shape>
            </w:pict>
          </mc:Fallback>
        </mc:AlternateContent>
      </w:r>
      <w:r w:rsidR="00F83798">
        <w:rPr>
          <w:noProof/>
          <w:sz w:val="36"/>
          <w:szCs w:val="36"/>
          <w:lang w:eastAsia="fr-FR"/>
        </w:rPr>
        <w:drawing>
          <wp:inline distT="0" distB="0" distL="0" distR="0" wp14:anchorId="4BF7F541" wp14:editId="02889B74">
            <wp:extent cx="2018083" cy="920262"/>
            <wp:effectExtent l="19050" t="0" r="1217"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18746" cy="920564"/>
                    </a:xfrm>
                    <a:prstGeom prst="rect">
                      <a:avLst/>
                    </a:prstGeom>
                    <a:noFill/>
                    <a:ln w="9525">
                      <a:noFill/>
                      <a:miter lim="800000"/>
                      <a:headEnd/>
                      <a:tailEnd/>
                    </a:ln>
                  </pic:spPr>
                </pic:pic>
              </a:graphicData>
            </a:graphic>
          </wp:inline>
        </w:drawing>
      </w:r>
    </w:p>
    <w:p w14:paraId="68509432" w14:textId="77777777" w:rsidR="00793794" w:rsidRDefault="00F83798" w:rsidP="000F1CEE">
      <w:pPr>
        <w:spacing w:after="0" w:line="240" w:lineRule="auto"/>
        <w:jc w:val="center"/>
        <w:rPr>
          <w:rFonts w:ascii="Arial Black" w:hAnsi="Arial Black"/>
          <w:b/>
          <w:sz w:val="40"/>
          <w:szCs w:val="40"/>
        </w:rPr>
      </w:pPr>
      <w:r w:rsidRPr="00D317B6">
        <w:rPr>
          <w:rFonts w:ascii="Arial Black" w:hAnsi="Arial Black"/>
          <w:b/>
          <w:sz w:val="40"/>
          <w:szCs w:val="40"/>
        </w:rPr>
        <w:t>CHARTE</w:t>
      </w:r>
      <w:r w:rsidR="00793794">
        <w:rPr>
          <w:rFonts w:ascii="Arial Black" w:hAnsi="Arial Black"/>
          <w:b/>
          <w:sz w:val="40"/>
          <w:szCs w:val="40"/>
        </w:rPr>
        <w:t xml:space="preserve"> </w:t>
      </w:r>
    </w:p>
    <w:p w14:paraId="76522C7C" w14:textId="76E7CF11" w:rsidR="00BD1307" w:rsidRDefault="00F83798" w:rsidP="000F1CEE">
      <w:pPr>
        <w:spacing w:after="0" w:line="240" w:lineRule="auto"/>
        <w:jc w:val="center"/>
        <w:rPr>
          <w:rFonts w:ascii="Arial Black" w:hAnsi="Arial Black"/>
          <w:b/>
          <w:sz w:val="40"/>
          <w:szCs w:val="40"/>
        </w:rPr>
      </w:pPr>
      <w:r w:rsidRPr="00D317B6">
        <w:rPr>
          <w:rFonts w:ascii="Arial Black" w:hAnsi="Arial Black"/>
          <w:b/>
          <w:sz w:val="40"/>
          <w:szCs w:val="40"/>
        </w:rPr>
        <w:t>EC</w:t>
      </w:r>
      <w:r w:rsidR="00BD1307" w:rsidRPr="00D317B6">
        <w:rPr>
          <w:rFonts w:ascii="Arial Black" w:hAnsi="Arial Black"/>
          <w:b/>
          <w:sz w:val="40"/>
          <w:szCs w:val="40"/>
        </w:rPr>
        <w:t>L</w:t>
      </w:r>
      <w:r w:rsidRPr="00D317B6">
        <w:rPr>
          <w:rFonts w:ascii="Arial Black" w:hAnsi="Arial Black"/>
          <w:b/>
          <w:sz w:val="40"/>
          <w:szCs w:val="40"/>
        </w:rPr>
        <w:t>AI</w:t>
      </w:r>
      <w:r w:rsidR="00BD1307" w:rsidRPr="00D317B6">
        <w:rPr>
          <w:rFonts w:ascii="Arial Black" w:hAnsi="Arial Black"/>
          <w:b/>
          <w:sz w:val="40"/>
          <w:szCs w:val="40"/>
        </w:rPr>
        <w:t>RAGE PUBLIC</w:t>
      </w:r>
      <w:r w:rsidR="00A63716" w:rsidRPr="00D317B6">
        <w:rPr>
          <w:rFonts w:ascii="Arial Black" w:hAnsi="Arial Black"/>
          <w:b/>
          <w:sz w:val="40"/>
          <w:szCs w:val="40"/>
        </w:rPr>
        <w:t xml:space="preserve"> </w:t>
      </w:r>
      <w:r w:rsidR="00BD1307" w:rsidRPr="00D317B6">
        <w:rPr>
          <w:rFonts w:ascii="Arial Black" w:hAnsi="Arial Black"/>
          <w:b/>
          <w:sz w:val="40"/>
          <w:szCs w:val="40"/>
        </w:rPr>
        <w:t>ET BIODIVERSITE</w:t>
      </w:r>
    </w:p>
    <w:p w14:paraId="35FFC42D" w14:textId="77777777" w:rsidR="000F1CEE" w:rsidRPr="00D317B6" w:rsidRDefault="000F1CEE" w:rsidP="000F1CEE">
      <w:pPr>
        <w:spacing w:after="0" w:line="240" w:lineRule="auto"/>
        <w:jc w:val="center"/>
        <w:rPr>
          <w:rFonts w:ascii="Arial Black" w:hAnsi="Arial Black"/>
          <w:b/>
          <w:sz w:val="40"/>
          <w:szCs w:val="40"/>
        </w:rPr>
      </w:pPr>
    </w:p>
    <w:p w14:paraId="49818795" w14:textId="77777777" w:rsidR="00BD1307" w:rsidRPr="00D61179" w:rsidRDefault="00B37324" w:rsidP="001A4586">
      <w:pPr>
        <w:jc w:val="both"/>
        <w:rPr>
          <w:b/>
          <w:sz w:val="36"/>
          <w:szCs w:val="36"/>
        </w:rPr>
      </w:pPr>
      <w:r w:rsidRPr="00D61179">
        <w:rPr>
          <w:b/>
          <w:sz w:val="36"/>
          <w:szCs w:val="36"/>
        </w:rPr>
        <w:t>Préambule</w:t>
      </w:r>
    </w:p>
    <w:p w14:paraId="093B46C2" w14:textId="77777777" w:rsidR="00D719AC" w:rsidRDefault="00D719AC" w:rsidP="001A4586">
      <w:pPr>
        <w:jc w:val="both"/>
      </w:pPr>
      <w:r>
        <w:t xml:space="preserve">Afin de </w:t>
      </w:r>
      <w:r w:rsidR="00A63716">
        <w:t>sécuriser</w:t>
      </w:r>
      <w:r w:rsidR="00E41580">
        <w:t xml:space="preserve"> </w:t>
      </w:r>
      <w:r>
        <w:t>les déplacements</w:t>
      </w:r>
      <w:r w:rsidR="00A63716">
        <w:t xml:space="preserve"> et </w:t>
      </w:r>
      <w:r>
        <w:t>la mise en valeur des espaces, l’éclairage public s’est très largement généralisé.</w:t>
      </w:r>
      <w:r w:rsidR="00E41580">
        <w:t xml:space="preserve"> </w:t>
      </w:r>
      <w:r>
        <w:t>Son incidence sur les consommations d’énergie et le budget des communes n’est plus à négliger et son coût est en constante augmentation.</w:t>
      </w:r>
    </w:p>
    <w:p w14:paraId="42163BF8" w14:textId="77777777" w:rsidR="00D719AC" w:rsidRDefault="00A63716" w:rsidP="001A4586">
      <w:pPr>
        <w:jc w:val="both"/>
      </w:pPr>
      <w:r>
        <w:t>Par ailleurs, l</w:t>
      </w:r>
      <w:r w:rsidR="00D719AC">
        <w:t>’éclairage artificiel</w:t>
      </w:r>
      <w:r>
        <w:t>,</w:t>
      </w:r>
      <w:r w:rsidR="00D719AC">
        <w:t xml:space="preserve"> </w:t>
      </w:r>
      <w:r>
        <w:t xml:space="preserve">lorsqu’il est mal maitrisé et dimensionné </w:t>
      </w:r>
      <w:r w:rsidR="00D719AC">
        <w:t>est responsable de la pollution lumineuse nocturne</w:t>
      </w:r>
      <w:r w:rsidR="00E41580">
        <w:t>, qui</w:t>
      </w:r>
      <w:r w:rsidR="008D2AD5">
        <w:t xml:space="preserve"> </w:t>
      </w:r>
      <w:r w:rsidR="00E41580">
        <w:t>perturbe l</w:t>
      </w:r>
      <w:r w:rsidR="00D719AC">
        <w:t>es cycles biologiques des organismes vivants (humains, animaux, végétaux)</w:t>
      </w:r>
      <w:r w:rsidR="00E41580">
        <w:t xml:space="preserve"> et l’observation du ciel étoilé</w:t>
      </w:r>
      <w:r w:rsidR="00D719AC">
        <w:t xml:space="preserve">. </w:t>
      </w:r>
    </w:p>
    <w:p w14:paraId="6A077B79" w14:textId="77777777" w:rsidR="00F07E93" w:rsidRDefault="00D719AC" w:rsidP="001A4586">
      <w:pPr>
        <w:jc w:val="both"/>
      </w:pPr>
      <w:r>
        <w:t>D</w:t>
      </w:r>
      <w:r w:rsidR="00F07E93">
        <w:t>evant</w:t>
      </w:r>
      <w:r w:rsidR="00E41580">
        <w:t xml:space="preserve"> </w:t>
      </w:r>
      <w:r w:rsidR="00F07E93">
        <w:t>ce constat</w:t>
      </w:r>
      <w:r>
        <w:t xml:space="preserve">, il est urgent de </w:t>
      </w:r>
      <w:r w:rsidR="00F07E93">
        <w:t>revoir la façon d’éclairer pour</w:t>
      </w:r>
    </w:p>
    <w:p w14:paraId="3C18BDC1" w14:textId="77777777" w:rsidR="0043065A" w:rsidRPr="006865D3" w:rsidRDefault="00F07E93" w:rsidP="00F07E93">
      <w:pPr>
        <w:jc w:val="center"/>
        <w:rPr>
          <w:b/>
        </w:rPr>
      </w:pPr>
      <w:r w:rsidRPr="006865D3">
        <w:rPr>
          <w:b/>
        </w:rPr>
        <w:t>«</w:t>
      </w:r>
      <w:r w:rsidR="00E41580" w:rsidRPr="006865D3">
        <w:rPr>
          <w:b/>
        </w:rPr>
        <w:t xml:space="preserve"> </w:t>
      </w:r>
      <w:r w:rsidR="00135D7E" w:rsidRPr="006865D3">
        <w:rPr>
          <w:b/>
        </w:rPr>
        <w:t>Éclairer</w:t>
      </w:r>
      <w:r w:rsidRPr="006865D3">
        <w:rPr>
          <w:b/>
        </w:rPr>
        <w:t xml:space="preserve"> mieux, éclairer </w:t>
      </w:r>
      <w:r w:rsidR="00135D7E" w:rsidRPr="006865D3">
        <w:rPr>
          <w:b/>
        </w:rPr>
        <w:t>juste,</w:t>
      </w:r>
      <w:r w:rsidRPr="006865D3">
        <w:rPr>
          <w:b/>
        </w:rPr>
        <w:t xml:space="preserve"> éclairer durable ».</w:t>
      </w:r>
    </w:p>
    <w:p w14:paraId="1C346510" w14:textId="77777777" w:rsidR="00D719AC" w:rsidRDefault="00D719AC" w:rsidP="001A4586">
      <w:pPr>
        <w:jc w:val="both"/>
      </w:pPr>
      <w:r>
        <w:t xml:space="preserve">Chaque collectivité, par le choix du type d’éclairage et par la mise en œuvre de mesures de suppression </w:t>
      </w:r>
      <w:proofErr w:type="gramStart"/>
      <w:r>
        <w:t>ou</w:t>
      </w:r>
      <w:proofErr w:type="gramEnd"/>
      <w:r>
        <w:t xml:space="preserve"> de limitation, peut contribuer à une solidarité territoriale, afin de préserver l’environnement pour les générations futures, tout en maîtrisant mieux son budget. </w:t>
      </w:r>
    </w:p>
    <w:p w14:paraId="2115E963" w14:textId="77777777" w:rsidR="00D719AC" w:rsidRDefault="00D719AC" w:rsidP="001A4586">
      <w:pPr>
        <w:jc w:val="both"/>
      </w:pPr>
      <w:r>
        <w:t>La Charte</w:t>
      </w:r>
      <w:r w:rsidR="00E41580">
        <w:t xml:space="preserve"> </w:t>
      </w:r>
      <w:r>
        <w:t xml:space="preserve">Éclairage Public et </w:t>
      </w:r>
      <w:r w:rsidR="00CB1B51">
        <w:t>biodiversité</w:t>
      </w:r>
      <w:r w:rsidR="00E41580">
        <w:t xml:space="preserve"> </w:t>
      </w:r>
      <w:r w:rsidR="00CB1B51">
        <w:t>est un outil afin d’</w:t>
      </w:r>
      <w:r>
        <w:t>aider élus et techniciens à</w:t>
      </w:r>
      <w:r w:rsidR="00F07E93">
        <w:t xml:space="preserve"> mieux adapter l’éclairage public dans son environnement</w:t>
      </w:r>
      <w:r>
        <w:t>.</w:t>
      </w:r>
    </w:p>
    <w:p w14:paraId="60A734E2" w14:textId="77777777" w:rsidR="00D719AC" w:rsidRDefault="006865D3" w:rsidP="001A4586">
      <w:pPr>
        <w:jc w:val="both"/>
      </w:pPr>
      <w:r>
        <w:t>La charte</w:t>
      </w:r>
      <w:r w:rsidR="00D719AC">
        <w:t xml:space="preserve"> définit des principes assortis d’un ensemble de préconisations, afin de réduire les consommations et les dépenses énergétiques,</w:t>
      </w:r>
      <w:r w:rsidR="00F07E93">
        <w:t xml:space="preserve"> de protéger l’environnement tout en maintenant</w:t>
      </w:r>
      <w:r w:rsidR="00E41580">
        <w:t xml:space="preserve"> </w:t>
      </w:r>
      <w:r w:rsidR="00D719AC">
        <w:t xml:space="preserve">la sécurité nocturne. </w:t>
      </w:r>
    </w:p>
    <w:p w14:paraId="09A4AB9B" w14:textId="77777777" w:rsidR="00D719AC" w:rsidRDefault="00D719AC" w:rsidP="001A4586">
      <w:pPr>
        <w:jc w:val="both"/>
      </w:pPr>
      <w:r>
        <w:t xml:space="preserve">Cette charte doit accompagner les collectivités dans leurs questionnements : </w:t>
      </w:r>
    </w:p>
    <w:p w14:paraId="0D580332" w14:textId="77777777" w:rsidR="00D719AC" w:rsidRPr="0043065A" w:rsidRDefault="00B37324" w:rsidP="006865D3">
      <w:pPr>
        <w:spacing w:after="120"/>
        <w:jc w:val="center"/>
        <w:rPr>
          <w:sz w:val="28"/>
          <w:szCs w:val="28"/>
        </w:rPr>
      </w:pPr>
      <w:r>
        <w:rPr>
          <w:sz w:val="28"/>
          <w:szCs w:val="28"/>
        </w:rPr>
        <w:t>P</w:t>
      </w:r>
      <w:r w:rsidR="00D719AC" w:rsidRPr="0043065A">
        <w:rPr>
          <w:sz w:val="28"/>
          <w:szCs w:val="28"/>
        </w:rPr>
        <w:t>ourquoi éclairer ?</w:t>
      </w:r>
    </w:p>
    <w:p w14:paraId="047F5D40" w14:textId="77777777" w:rsidR="00D719AC" w:rsidRPr="0043065A" w:rsidRDefault="00D719AC" w:rsidP="006865D3">
      <w:pPr>
        <w:spacing w:after="120"/>
        <w:jc w:val="center"/>
        <w:rPr>
          <w:sz w:val="28"/>
          <w:szCs w:val="28"/>
        </w:rPr>
      </w:pPr>
      <w:r w:rsidRPr="0043065A">
        <w:rPr>
          <w:sz w:val="28"/>
          <w:szCs w:val="28"/>
        </w:rPr>
        <w:t>Éclairer quoi ?</w:t>
      </w:r>
    </w:p>
    <w:p w14:paraId="252909B0" w14:textId="77777777" w:rsidR="00D719AC" w:rsidRPr="0043065A" w:rsidRDefault="00D719AC" w:rsidP="006865D3">
      <w:pPr>
        <w:spacing w:after="120"/>
        <w:jc w:val="center"/>
        <w:rPr>
          <w:sz w:val="28"/>
          <w:szCs w:val="28"/>
        </w:rPr>
      </w:pPr>
      <w:r w:rsidRPr="0043065A">
        <w:rPr>
          <w:sz w:val="28"/>
          <w:szCs w:val="28"/>
        </w:rPr>
        <w:t>Éclairer quand ?</w:t>
      </w:r>
    </w:p>
    <w:p w14:paraId="32656993" w14:textId="77777777" w:rsidR="00D719AC" w:rsidRPr="0043065A" w:rsidRDefault="00D719AC" w:rsidP="006865D3">
      <w:pPr>
        <w:spacing w:after="120"/>
        <w:jc w:val="center"/>
        <w:rPr>
          <w:sz w:val="28"/>
          <w:szCs w:val="28"/>
        </w:rPr>
      </w:pPr>
      <w:r w:rsidRPr="0043065A">
        <w:rPr>
          <w:sz w:val="28"/>
          <w:szCs w:val="28"/>
        </w:rPr>
        <w:t>Comment éclairer ?</w:t>
      </w:r>
    </w:p>
    <w:p w14:paraId="778FEE90" w14:textId="77777777" w:rsidR="00234A4C" w:rsidRDefault="00234A4C">
      <w:pPr>
        <w:rPr>
          <w:sz w:val="40"/>
          <w:szCs w:val="40"/>
        </w:rPr>
      </w:pPr>
    </w:p>
    <w:p w14:paraId="67BFF30F" w14:textId="77777777" w:rsidR="00234A4C" w:rsidRDefault="00234A4C" w:rsidP="008906A1">
      <w:pPr>
        <w:jc w:val="center"/>
        <w:rPr>
          <w:sz w:val="40"/>
          <w:szCs w:val="40"/>
        </w:rPr>
      </w:pPr>
    </w:p>
    <w:p w14:paraId="2BCA8A7B" w14:textId="1822D4FF" w:rsidR="001D0FA5" w:rsidRPr="00D61179" w:rsidRDefault="00F07E93">
      <w:pPr>
        <w:rPr>
          <w:sz w:val="40"/>
          <w:szCs w:val="40"/>
        </w:rPr>
      </w:pPr>
      <w:r w:rsidRPr="00D61179">
        <w:rPr>
          <w:sz w:val="40"/>
          <w:szCs w:val="40"/>
        </w:rPr>
        <w:lastRenderedPageBreak/>
        <w:t xml:space="preserve">Qui peut adhérer à la charte ? </w:t>
      </w:r>
    </w:p>
    <w:p w14:paraId="142F547F" w14:textId="4027C561" w:rsidR="00234A4C" w:rsidRDefault="00234A4C" w:rsidP="001A4586">
      <w:pPr>
        <w:jc w:val="both"/>
      </w:pPr>
      <w:r>
        <w:t xml:space="preserve">Le SDE22 souhaite à terme que cette charte puisse être déclinée sur l’ensemble des collectivités volontaires du territoire des Côtes d’Armor. </w:t>
      </w:r>
      <w:r w:rsidR="00D719AC">
        <w:t xml:space="preserve">L’adhésion à la charte </w:t>
      </w:r>
      <w:r>
        <w:t xml:space="preserve">est ouverte aux collectivités volontaires. Suite à différentes présentations du SDE22 et à de multiples échanges, </w:t>
      </w:r>
      <w:r w:rsidR="00512B56" w:rsidRPr="00512B56">
        <w:rPr>
          <w:highlight w:val="yellow"/>
        </w:rPr>
        <w:t>Dénomination de l’EPCI</w:t>
      </w:r>
      <w:r>
        <w:t xml:space="preserve"> a souhaité adhérer à cette charte pour en bénéficier à l’échelle de son territoire.</w:t>
      </w:r>
    </w:p>
    <w:p w14:paraId="23D0823B" w14:textId="19CFD1E8" w:rsidR="00766175" w:rsidRPr="00D317B6" w:rsidRDefault="00766175" w:rsidP="00766175">
      <w:pPr>
        <w:rPr>
          <w:b/>
          <w:sz w:val="28"/>
          <w:szCs w:val="28"/>
        </w:rPr>
      </w:pPr>
      <w:r w:rsidRPr="00D317B6">
        <w:rPr>
          <w:b/>
          <w:sz w:val="28"/>
          <w:szCs w:val="28"/>
        </w:rPr>
        <w:t xml:space="preserve">Présentation </w:t>
      </w:r>
      <w:r w:rsidR="00D61179" w:rsidRPr="00D317B6">
        <w:rPr>
          <w:b/>
          <w:sz w:val="28"/>
          <w:szCs w:val="28"/>
        </w:rPr>
        <w:t>et rôle des</w:t>
      </w:r>
      <w:r w:rsidRPr="00D317B6">
        <w:rPr>
          <w:b/>
          <w:sz w:val="28"/>
          <w:szCs w:val="28"/>
        </w:rPr>
        <w:t xml:space="preserve"> signataires</w:t>
      </w:r>
      <w:r w:rsidR="00E41580">
        <w:rPr>
          <w:b/>
          <w:sz w:val="28"/>
          <w:szCs w:val="28"/>
        </w:rPr>
        <w:t xml:space="preserve"> </w:t>
      </w:r>
      <w:r w:rsidRPr="00D317B6">
        <w:rPr>
          <w:b/>
          <w:sz w:val="28"/>
          <w:szCs w:val="28"/>
        </w:rPr>
        <w:t xml:space="preserve"> </w:t>
      </w:r>
    </w:p>
    <w:p w14:paraId="1120E4AF" w14:textId="5DF326C0" w:rsidR="00766175" w:rsidRDefault="00766175" w:rsidP="00766175">
      <w:r>
        <w:t>Le rôle des acteurs identifiés</w:t>
      </w:r>
      <w:r w:rsidR="00E41580">
        <w:t xml:space="preserve"> </w:t>
      </w:r>
      <w:r>
        <w:t xml:space="preserve">lors de l’élaboration de la charte sur le territoire </w:t>
      </w:r>
      <w:proofErr w:type="gramStart"/>
      <w:r>
        <w:t>sont</w:t>
      </w:r>
      <w:proofErr w:type="gramEnd"/>
      <w:r w:rsidR="00CB4D07">
        <w:t> :</w:t>
      </w:r>
    </w:p>
    <w:p w14:paraId="15658E76" w14:textId="4D6C6A73" w:rsidR="00CB4D07" w:rsidRDefault="00512B56" w:rsidP="00CB4D07">
      <w:pPr>
        <w:spacing w:after="0" w:line="240" w:lineRule="auto"/>
        <w:jc w:val="both"/>
        <w:rPr>
          <w:rFonts w:ascii="Calibri" w:eastAsia="Calibri" w:hAnsi="Calibri" w:cs="Calibri"/>
          <w:b/>
          <w:bCs/>
        </w:rPr>
      </w:pPr>
      <w:r w:rsidRPr="007875DB">
        <w:rPr>
          <w:noProof/>
          <w:sz w:val="40"/>
          <w:szCs w:val="40"/>
        </w:rPr>
        <mc:AlternateContent>
          <mc:Choice Requires="wps">
            <w:drawing>
              <wp:anchor distT="45720" distB="45720" distL="114300" distR="114300" simplePos="0" relativeHeight="251672576" behindDoc="0" locked="0" layoutInCell="1" allowOverlap="1" wp14:anchorId="73D40393" wp14:editId="533C9345">
                <wp:simplePos x="0" y="0"/>
                <wp:positionH relativeFrom="margin">
                  <wp:align>left</wp:align>
                </wp:positionH>
                <wp:positionV relativeFrom="paragraph">
                  <wp:posOffset>22225</wp:posOffset>
                </wp:positionV>
                <wp:extent cx="1695450" cy="24765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47650"/>
                        </a:xfrm>
                        <a:prstGeom prst="rect">
                          <a:avLst/>
                        </a:prstGeom>
                        <a:solidFill>
                          <a:srgbClr val="FFFF00"/>
                        </a:solidFill>
                        <a:ln w="9525">
                          <a:noFill/>
                          <a:miter lim="800000"/>
                          <a:headEnd/>
                          <a:tailEnd/>
                        </a:ln>
                      </wps:spPr>
                      <wps:txbx>
                        <w:txbxContent>
                          <w:p w14:paraId="353C4F10" w14:textId="54CBFD25" w:rsidR="007875DB" w:rsidRDefault="007875DB">
                            <w:r>
                              <w:t>Dénomination de l’EPCI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40393" id="Zone de texte 2" o:spid="_x0000_s1027" type="#_x0000_t202" style="position:absolute;left:0;text-align:left;margin-left:0;margin-top:1.75pt;width:133.5pt;height:19.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" fillcolor="yellow" stroked="f">
                <v:textbox>
                  <w:txbxContent>
                    <w:p w14:paraId="353C4F10" w14:textId="54CBFD25" w:rsidR="007875DB" w:rsidRDefault="007875DB">
                      <w:r>
                        <w:t>Dénomination de l’EPCI</w:t>
                      </w:r>
                    </w:p>
                  </w:txbxContent>
                </v:textbox>
                <w10:wrap anchorx="margin"/>
              </v:shape>
            </w:pict>
          </mc:Fallback>
        </mc:AlternateContent>
      </w:r>
    </w:p>
    <w:p w14:paraId="21DC0D68" w14:textId="77777777" w:rsidR="00512B56" w:rsidRPr="00CB4D07" w:rsidRDefault="00512B56" w:rsidP="00CB4D07">
      <w:pPr>
        <w:spacing w:after="0" w:line="240" w:lineRule="auto"/>
        <w:jc w:val="both"/>
        <w:rPr>
          <w:rFonts w:ascii="Calibri" w:eastAsia="Calibri" w:hAnsi="Calibri" w:cs="Calibri"/>
          <w:b/>
          <w:bCs/>
        </w:rPr>
      </w:pPr>
    </w:p>
    <w:p w14:paraId="7416F21F" w14:textId="2B283629" w:rsidR="00CB4D07" w:rsidRDefault="00CB4D07" w:rsidP="00CB4D07">
      <w:pPr>
        <w:spacing w:after="0" w:line="240" w:lineRule="auto"/>
        <w:jc w:val="both"/>
        <w:rPr>
          <w:rFonts w:ascii="Calibri" w:eastAsia="Calibri" w:hAnsi="Calibri" w:cs="Calibri"/>
          <w:bCs/>
        </w:rPr>
      </w:pPr>
      <w:r w:rsidRPr="00CB4D07">
        <w:rPr>
          <w:rFonts w:ascii="Calibri" w:eastAsia="Calibri" w:hAnsi="Calibri" w:cs="Calibri"/>
          <w:bCs/>
        </w:rPr>
        <w:t xml:space="preserve">Créée </w:t>
      </w:r>
      <w:r w:rsidR="008906A1" w:rsidRPr="008906A1">
        <w:rPr>
          <w:rFonts w:ascii="Calibri" w:eastAsia="Calibri" w:hAnsi="Calibri" w:cs="Calibri"/>
          <w:bCs/>
          <w:highlight w:val="yellow"/>
        </w:rPr>
        <w:t>le</w:t>
      </w:r>
      <w:proofErr w:type="gramStart"/>
      <w:r w:rsidR="008906A1" w:rsidRPr="008906A1">
        <w:rPr>
          <w:rFonts w:ascii="Calibri" w:eastAsia="Calibri" w:hAnsi="Calibri" w:cs="Calibri"/>
          <w:bCs/>
          <w:highlight w:val="yellow"/>
        </w:rPr>
        <w:t xml:space="preserve"> ….</w:t>
      </w:r>
      <w:proofErr w:type="gramEnd"/>
      <w:r w:rsidR="008906A1" w:rsidRPr="008906A1">
        <w:rPr>
          <w:rFonts w:ascii="Calibri" w:eastAsia="Calibri" w:hAnsi="Calibri" w:cs="Calibri"/>
          <w:bCs/>
          <w:highlight w:val="yellow"/>
        </w:rPr>
        <w:t>./…./….</w:t>
      </w:r>
      <w:r w:rsidRPr="00CB4D07">
        <w:rPr>
          <w:rFonts w:ascii="Calibri" w:eastAsia="Calibri" w:hAnsi="Calibri" w:cs="Calibri"/>
          <w:bCs/>
        </w:rPr>
        <w:t xml:space="preserve"> </w:t>
      </w:r>
      <w:proofErr w:type="gramStart"/>
      <w:r w:rsidRPr="00CB4D07">
        <w:rPr>
          <w:rFonts w:ascii="Calibri" w:eastAsia="Calibri" w:hAnsi="Calibri" w:cs="Calibri"/>
          <w:bCs/>
        </w:rPr>
        <w:t>et</w:t>
      </w:r>
      <w:proofErr w:type="gramEnd"/>
      <w:r w:rsidRPr="00CB4D07">
        <w:rPr>
          <w:rFonts w:ascii="Calibri" w:eastAsia="Calibri" w:hAnsi="Calibri" w:cs="Calibri"/>
          <w:bCs/>
        </w:rPr>
        <w:t xml:space="preserve"> transformée au  </w:t>
      </w:r>
      <w:r w:rsidR="008906A1" w:rsidRPr="008906A1">
        <w:rPr>
          <w:rFonts w:ascii="Calibri" w:eastAsia="Calibri" w:hAnsi="Calibri" w:cs="Calibri"/>
          <w:bCs/>
          <w:highlight w:val="yellow"/>
        </w:rPr>
        <w:t>…../…./….</w:t>
      </w:r>
      <w:r w:rsidR="008906A1">
        <w:rPr>
          <w:rFonts w:ascii="Calibri" w:eastAsia="Calibri" w:hAnsi="Calibri" w:cs="Calibri"/>
          <w:bCs/>
        </w:rPr>
        <w:t xml:space="preserve"> </w:t>
      </w:r>
      <w:proofErr w:type="gramStart"/>
      <w:r w:rsidRPr="00CB4D07">
        <w:rPr>
          <w:rFonts w:ascii="Calibri" w:eastAsia="Calibri" w:hAnsi="Calibri" w:cs="Calibri"/>
          <w:bCs/>
        </w:rPr>
        <w:t>en</w:t>
      </w:r>
      <w:proofErr w:type="gramEnd"/>
      <w:r w:rsidRPr="00CB4D07">
        <w:rPr>
          <w:rFonts w:ascii="Calibri" w:eastAsia="Calibri" w:hAnsi="Calibri" w:cs="Calibri"/>
          <w:bCs/>
        </w:rPr>
        <w:t xml:space="preserve"> Communauté d’Agglomération</w:t>
      </w:r>
      <w:r w:rsidR="00512B56">
        <w:rPr>
          <w:rFonts w:ascii="Calibri" w:eastAsia="Calibri" w:hAnsi="Calibri" w:cs="Calibri"/>
          <w:bCs/>
        </w:rPr>
        <w:t xml:space="preserve"> </w:t>
      </w:r>
      <w:r w:rsidR="00512B56" w:rsidRPr="00512B56">
        <w:rPr>
          <w:highlight w:val="yellow"/>
        </w:rPr>
        <w:t>Dénomination de l’EPCI</w:t>
      </w:r>
      <w:r w:rsidR="008906A1">
        <w:rPr>
          <w:rFonts w:ascii="Calibri" w:eastAsia="Calibri" w:hAnsi="Calibri" w:cs="Calibri"/>
          <w:bCs/>
        </w:rPr>
        <w:t xml:space="preserve">   </w:t>
      </w:r>
      <w:r w:rsidR="00512B56">
        <w:rPr>
          <w:rFonts w:ascii="Calibri" w:eastAsia="Calibri" w:hAnsi="Calibri" w:cs="Calibri"/>
          <w:bCs/>
        </w:rPr>
        <w:t>e</w:t>
      </w:r>
      <w:r w:rsidRPr="00CB4D07">
        <w:rPr>
          <w:rFonts w:ascii="Calibri" w:eastAsia="Calibri" w:hAnsi="Calibri" w:cs="Calibri"/>
          <w:bCs/>
        </w:rPr>
        <w:t>st composée</w:t>
      </w:r>
      <w:r w:rsidRPr="00CB4D07">
        <w:rPr>
          <w:rFonts w:ascii="Calibri" w:eastAsia="Calibri" w:hAnsi="Calibri" w:cs="Calibri"/>
          <w:b/>
          <w:bCs/>
        </w:rPr>
        <w:t xml:space="preserve">  </w:t>
      </w:r>
      <w:r w:rsidRPr="00CB4D07">
        <w:rPr>
          <w:rFonts w:ascii="Calibri" w:eastAsia="Calibri" w:hAnsi="Calibri" w:cs="Calibri"/>
          <w:bCs/>
        </w:rPr>
        <w:t>de</w:t>
      </w:r>
      <w:r w:rsidR="00512B56">
        <w:rPr>
          <w:rFonts w:ascii="Calibri" w:eastAsia="Calibri" w:hAnsi="Calibri" w:cs="Calibri"/>
          <w:bCs/>
        </w:rPr>
        <w:t xml:space="preserve">  </w:t>
      </w:r>
      <w:r w:rsidR="00512B56" w:rsidRPr="00512B56">
        <w:rPr>
          <w:rFonts w:ascii="Calibri" w:eastAsia="Calibri" w:hAnsi="Calibri" w:cs="Calibri"/>
          <w:bCs/>
          <w:highlight w:val="yellow"/>
        </w:rPr>
        <w:t>nombre de</w:t>
      </w:r>
      <w:r w:rsidR="00512B56">
        <w:rPr>
          <w:rFonts w:ascii="Calibri" w:eastAsia="Calibri" w:hAnsi="Calibri" w:cs="Calibri"/>
          <w:bCs/>
        </w:rPr>
        <w:t xml:space="preserve"> </w:t>
      </w:r>
      <w:r w:rsidRPr="00CB4D07">
        <w:rPr>
          <w:rFonts w:ascii="Calibri" w:eastAsia="Calibri" w:hAnsi="Calibri" w:cs="Calibri"/>
          <w:bCs/>
        </w:rPr>
        <w:t xml:space="preserve">communes. </w:t>
      </w:r>
    </w:p>
    <w:p w14:paraId="2F538460" w14:textId="77777777" w:rsidR="00CB4D07" w:rsidRDefault="00CB4D07" w:rsidP="00CB4D07">
      <w:pPr>
        <w:spacing w:after="0" w:line="240" w:lineRule="auto"/>
        <w:jc w:val="both"/>
        <w:rPr>
          <w:rFonts w:ascii="Calibri" w:eastAsia="Calibri" w:hAnsi="Calibri" w:cs="Calibri"/>
          <w:bCs/>
        </w:rPr>
      </w:pPr>
    </w:p>
    <w:p w14:paraId="320A2D1E" w14:textId="77777777" w:rsidR="00CB4D07" w:rsidRPr="00CB4D07" w:rsidRDefault="00CB4D07" w:rsidP="00CB4D07">
      <w:pPr>
        <w:spacing w:after="0" w:line="240" w:lineRule="auto"/>
        <w:jc w:val="both"/>
        <w:rPr>
          <w:rFonts w:ascii="Calibri" w:eastAsia="Calibri" w:hAnsi="Calibri" w:cs="Calibri"/>
          <w:bCs/>
        </w:rPr>
      </w:pPr>
      <w:r w:rsidRPr="00CB4D07">
        <w:rPr>
          <w:rFonts w:ascii="Calibri" w:eastAsia="Calibri" w:hAnsi="Calibri" w:cs="Calibri"/>
          <w:bCs/>
        </w:rPr>
        <w:t>Ces dernières ont fait le choix de se rassembler afin de faire ensemble ce qu’une commune ne peut faire seule. L’enjeu est de travailler et construire ensemble pour l’avenir du territoire.</w:t>
      </w:r>
    </w:p>
    <w:p w14:paraId="4B71B45C" w14:textId="77777777" w:rsidR="00CB4D07" w:rsidRPr="00CB4D07" w:rsidRDefault="00CB4D07" w:rsidP="00CB4D07">
      <w:pPr>
        <w:spacing w:after="0" w:line="240" w:lineRule="auto"/>
        <w:jc w:val="both"/>
        <w:rPr>
          <w:rFonts w:ascii="Calibri" w:eastAsia="Calibri" w:hAnsi="Calibri" w:cs="Calibri"/>
          <w:bCs/>
        </w:rPr>
      </w:pPr>
    </w:p>
    <w:p w14:paraId="64210CCE" w14:textId="6BBF4B87" w:rsidR="00CB4D07" w:rsidRDefault="00CB4D07" w:rsidP="00CB4D07">
      <w:pPr>
        <w:spacing w:after="0" w:line="240" w:lineRule="auto"/>
        <w:jc w:val="both"/>
        <w:rPr>
          <w:rFonts w:ascii="Calibri" w:eastAsia="Calibri" w:hAnsi="Calibri" w:cs="Calibri"/>
          <w:bCs/>
        </w:rPr>
      </w:pPr>
      <w:r w:rsidRPr="00CB4D07">
        <w:rPr>
          <w:rFonts w:ascii="Calibri" w:eastAsia="Calibri" w:hAnsi="Calibri" w:cs="Calibri"/>
          <w:bCs/>
        </w:rPr>
        <w:t>La communauté d'agglomération exerce plusieurs compétences déléguées par les communes membres. Cela inclut :</w:t>
      </w:r>
    </w:p>
    <w:p w14:paraId="24C17142" w14:textId="77777777" w:rsidR="00B11129" w:rsidRPr="00CB4D07" w:rsidRDefault="00B11129" w:rsidP="00CB4D07">
      <w:pPr>
        <w:spacing w:after="0" w:line="240" w:lineRule="auto"/>
        <w:jc w:val="both"/>
        <w:rPr>
          <w:rFonts w:ascii="Calibri" w:eastAsia="Calibri" w:hAnsi="Calibri" w:cs="Calibri"/>
          <w:bCs/>
        </w:rPr>
      </w:pPr>
    </w:p>
    <w:p w14:paraId="62F51D71" w14:textId="77777777" w:rsidR="00CB4D07" w:rsidRPr="002958E9" w:rsidRDefault="00CB4D07" w:rsidP="002958E9">
      <w:pPr>
        <w:pStyle w:val="Paragraphedeliste"/>
        <w:numPr>
          <w:ilvl w:val="0"/>
          <w:numId w:val="26"/>
        </w:numPr>
        <w:spacing w:after="0" w:line="240" w:lineRule="auto"/>
        <w:jc w:val="both"/>
        <w:rPr>
          <w:rFonts w:ascii="Calibri" w:eastAsia="Calibri" w:hAnsi="Calibri" w:cs="Calibri"/>
          <w:bCs/>
        </w:rPr>
      </w:pPr>
      <w:r w:rsidRPr="002958E9">
        <w:rPr>
          <w:rFonts w:ascii="Calibri" w:eastAsia="Calibri" w:hAnsi="Calibri" w:cs="Calibri"/>
          <w:bCs/>
        </w:rPr>
        <w:t>L'aménagement de l'espace communautaire.</w:t>
      </w:r>
    </w:p>
    <w:p w14:paraId="70775363" w14:textId="77777777" w:rsidR="00CB4D07" w:rsidRPr="002958E9" w:rsidRDefault="00CB4D07" w:rsidP="002958E9">
      <w:pPr>
        <w:pStyle w:val="Paragraphedeliste"/>
        <w:numPr>
          <w:ilvl w:val="0"/>
          <w:numId w:val="26"/>
        </w:numPr>
        <w:spacing w:after="0" w:line="240" w:lineRule="auto"/>
        <w:jc w:val="both"/>
        <w:rPr>
          <w:rFonts w:ascii="Calibri" w:eastAsia="Calibri" w:hAnsi="Calibri" w:cs="Calibri"/>
          <w:bCs/>
        </w:rPr>
      </w:pPr>
      <w:r w:rsidRPr="002958E9">
        <w:rPr>
          <w:rFonts w:ascii="Calibri" w:eastAsia="Calibri" w:hAnsi="Calibri" w:cs="Calibri"/>
          <w:bCs/>
        </w:rPr>
        <w:t>Le développement économique et touristique.</w:t>
      </w:r>
    </w:p>
    <w:p w14:paraId="2CC6E6EA" w14:textId="77777777" w:rsidR="00CB4D07" w:rsidRPr="002958E9" w:rsidRDefault="00CB4D07" w:rsidP="002958E9">
      <w:pPr>
        <w:pStyle w:val="Paragraphedeliste"/>
        <w:numPr>
          <w:ilvl w:val="0"/>
          <w:numId w:val="26"/>
        </w:numPr>
        <w:spacing w:after="0" w:line="240" w:lineRule="auto"/>
        <w:jc w:val="both"/>
        <w:rPr>
          <w:rFonts w:ascii="Calibri" w:eastAsia="Calibri" w:hAnsi="Calibri" w:cs="Calibri"/>
          <w:bCs/>
        </w:rPr>
      </w:pPr>
      <w:r w:rsidRPr="002958E9">
        <w:rPr>
          <w:rFonts w:ascii="Calibri" w:eastAsia="Calibri" w:hAnsi="Calibri" w:cs="Calibri"/>
          <w:bCs/>
        </w:rPr>
        <w:t>La promotion des activités culturelles, sportives et de loisirs.</w:t>
      </w:r>
    </w:p>
    <w:p w14:paraId="659572DA" w14:textId="77777777" w:rsidR="00CB4D07" w:rsidRPr="002958E9" w:rsidRDefault="00CB4D07" w:rsidP="002958E9">
      <w:pPr>
        <w:pStyle w:val="Paragraphedeliste"/>
        <w:numPr>
          <w:ilvl w:val="0"/>
          <w:numId w:val="26"/>
        </w:numPr>
        <w:spacing w:after="0" w:line="240" w:lineRule="auto"/>
        <w:jc w:val="both"/>
        <w:rPr>
          <w:rFonts w:ascii="Calibri" w:eastAsia="Calibri" w:hAnsi="Calibri" w:cs="Calibri"/>
          <w:bCs/>
        </w:rPr>
      </w:pPr>
      <w:r w:rsidRPr="002958E9">
        <w:rPr>
          <w:rFonts w:ascii="Calibri" w:eastAsia="Calibri" w:hAnsi="Calibri" w:cs="Calibri"/>
          <w:bCs/>
        </w:rPr>
        <w:t>Les transports publics et la mobilité.</w:t>
      </w:r>
    </w:p>
    <w:p w14:paraId="3163F8DA" w14:textId="77777777" w:rsidR="00CB4D07" w:rsidRPr="002958E9" w:rsidRDefault="00CB4D07" w:rsidP="002958E9">
      <w:pPr>
        <w:pStyle w:val="Paragraphedeliste"/>
        <w:numPr>
          <w:ilvl w:val="0"/>
          <w:numId w:val="26"/>
        </w:numPr>
        <w:spacing w:after="0" w:line="240" w:lineRule="auto"/>
        <w:jc w:val="both"/>
        <w:rPr>
          <w:rFonts w:ascii="Calibri" w:eastAsia="Calibri" w:hAnsi="Calibri" w:cs="Calibri"/>
          <w:b/>
          <w:bCs/>
        </w:rPr>
      </w:pPr>
      <w:r w:rsidRPr="002958E9">
        <w:rPr>
          <w:rFonts w:ascii="Calibri" w:eastAsia="Calibri" w:hAnsi="Calibri" w:cs="Calibri"/>
          <w:b/>
          <w:bCs/>
        </w:rPr>
        <w:t>La gestion des déchets et la protection de l'environnement</w:t>
      </w:r>
    </w:p>
    <w:p w14:paraId="634E8CFF" w14:textId="77777777" w:rsidR="00CB4D07" w:rsidRPr="00CB4D07" w:rsidRDefault="00CB4D07" w:rsidP="00CB4D07">
      <w:pPr>
        <w:spacing w:after="0" w:line="240" w:lineRule="auto"/>
        <w:jc w:val="both"/>
        <w:rPr>
          <w:rFonts w:ascii="Calibri" w:eastAsia="Calibri" w:hAnsi="Calibri" w:cs="Calibri"/>
          <w:bCs/>
        </w:rPr>
      </w:pPr>
    </w:p>
    <w:p w14:paraId="57840F9E" w14:textId="77777777" w:rsidR="002958E9" w:rsidRDefault="002958E9" w:rsidP="00CB4D07">
      <w:pPr>
        <w:spacing w:after="0" w:line="240" w:lineRule="auto"/>
        <w:jc w:val="both"/>
        <w:rPr>
          <w:rFonts w:ascii="Calibri" w:eastAsia="Calibri" w:hAnsi="Calibri" w:cs="Calibri"/>
          <w:bCs/>
        </w:rPr>
      </w:pPr>
    </w:p>
    <w:p w14:paraId="0057F958" w14:textId="45A32E71" w:rsidR="00CB4D07" w:rsidRPr="00CB4D07" w:rsidRDefault="00CB4D07" w:rsidP="00CB4D07">
      <w:pPr>
        <w:spacing w:after="0" w:line="240" w:lineRule="auto"/>
        <w:jc w:val="both"/>
        <w:rPr>
          <w:rFonts w:ascii="Calibri" w:eastAsia="Calibri" w:hAnsi="Calibri" w:cs="Calibri"/>
          <w:bCs/>
        </w:rPr>
      </w:pPr>
      <w:r w:rsidRPr="00CB4D07">
        <w:rPr>
          <w:rFonts w:ascii="Calibri" w:eastAsia="Calibri" w:hAnsi="Calibri" w:cs="Calibri"/>
          <w:bCs/>
        </w:rPr>
        <w:t xml:space="preserve">La protection et la valorisation de la biodiversité du territoire est au cœur de la politique environnementale de </w:t>
      </w:r>
      <w:r w:rsidR="00512B56" w:rsidRPr="00512B56">
        <w:rPr>
          <w:highlight w:val="yellow"/>
        </w:rPr>
        <w:t>Dénomination de l’EPCI</w:t>
      </w:r>
    </w:p>
    <w:p w14:paraId="4A054962" w14:textId="1DF7E845" w:rsidR="00CB4D07" w:rsidRDefault="00CB4D07" w:rsidP="00CB4D07">
      <w:pPr>
        <w:spacing w:after="0" w:line="240" w:lineRule="auto"/>
        <w:jc w:val="both"/>
        <w:rPr>
          <w:rFonts w:ascii="Calibri" w:eastAsia="Calibri" w:hAnsi="Calibri" w:cs="Calibri"/>
          <w:bCs/>
        </w:rPr>
      </w:pPr>
      <w:r w:rsidRPr="00CB4D07">
        <w:rPr>
          <w:rFonts w:ascii="Calibri" w:eastAsia="Calibri" w:hAnsi="Calibri" w:cs="Calibri"/>
          <w:bCs/>
        </w:rPr>
        <w:t xml:space="preserve">Dans le cadre de ses compétences, </w:t>
      </w:r>
      <w:r w:rsidR="00512B56" w:rsidRPr="00512B56">
        <w:rPr>
          <w:highlight w:val="yellow"/>
        </w:rPr>
        <w:t>Dénomination de l’EPCI</w:t>
      </w:r>
      <w:r w:rsidR="00512B56" w:rsidRPr="00CB4D07">
        <w:rPr>
          <w:rFonts w:ascii="Calibri" w:eastAsia="Calibri" w:hAnsi="Calibri" w:cs="Calibri"/>
          <w:bCs/>
        </w:rPr>
        <w:t xml:space="preserve"> </w:t>
      </w:r>
      <w:r w:rsidRPr="00CB4D07">
        <w:rPr>
          <w:rFonts w:ascii="Calibri" w:eastAsia="Calibri" w:hAnsi="Calibri" w:cs="Calibri"/>
          <w:bCs/>
        </w:rPr>
        <w:t xml:space="preserve">a </w:t>
      </w:r>
      <w:r w:rsidR="00025ABA" w:rsidRPr="00CB4D07">
        <w:rPr>
          <w:rFonts w:ascii="Calibri" w:eastAsia="Calibri" w:hAnsi="Calibri" w:cs="Calibri"/>
          <w:bCs/>
        </w:rPr>
        <w:t>ainsi défini</w:t>
      </w:r>
      <w:r w:rsidRPr="00CB4D07">
        <w:rPr>
          <w:rFonts w:ascii="Calibri" w:eastAsia="Calibri" w:hAnsi="Calibri" w:cs="Calibri"/>
          <w:bCs/>
        </w:rPr>
        <w:t xml:space="preserve"> plusieurs enjeux à savoi</w:t>
      </w:r>
      <w:r w:rsidR="00025ABA">
        <w:rPr>
          <w:rFonts w:ascii="Calibri" w:eastAsia="Calibri" w:hAnsi="Calibri" w:cs="Calibri"/>
          <w:bCs/>
        </w:rPr>
        <w:t>r</w:t>
      </w:r>
      <w:r w:rsidRPr="00CB4D07">
        <w:rPr>
          <w:rFonts w:ascii="Calibri" w:eastAsia="Calibri" w:hAnsi="Calibri" w:cs="Calibri"/>
          <w:bCs/>
        </w:rPr>
        <w:t xml:space="preserve"> :</w:t>
      </w:r>
    </w:p>
    <w:p w14:paraId="47DD1915" w14:textId="77777777" w:rsidR="002958E9" w:rsidRDefault="002958E9" w:rsidP="00CB4D07">
      <w:pPr>
        <w:spacing w:after="0" w:line="240" w:lineRule="auto"/>
        <w:jc w:val="both"/>
        <w:rPr>
          <w:rFonts w:ascii="Calibri" w:eastAsia="Calibri" w:hAnsi="Calibri" w:cs="Calibri"/>
          <w:bCs/>
        </w:rPr>
      </w:pPr>
    </w:p>
    <w:p w14:paraId="081812C0" w14:textId="402F9DBF" w:rsidR="002958E9" w:rsidRDefault="002958E9" w:rsidP="00CB4D07">
      <w:pPr>
        <w:spacing w:after="0" w:line="240" w:lineRule="auto"/>
        <w:jc w:val="both"/>
        <w:rPr>
          <w:rFonts w:ascii="Calibri" w:eastAsia="Calibri" w:hAnsi="Calibri" w:cs="Calibri"/>
          <w:bCs/>
        </w:rPr>
      </w:pPr>
    </w:p>
    <w:p w14:paraId="1E93F43E" w14:textId="77777777" w:rsidR="00CB4D07" w:rsidRPr="00CB4D07" w:rsidRDefault="00CB4D07" w:rsidP="00B11129">
      <w:pPr>
        <w:numPr>
          <w:ilvl w:val="0"/>
          <w:numId w:val="27"/>
        </w:numPr>
        <w:spacing w:after="0" w:line="240" w:lineRule="auto"/>
        <w:contextualSpacing/>
        <w:jc w:val="both"/>
        <w:rPr>
          <w:rFonts w:ascii="Calibri" w:eastAsia="Calibri" w:hAnsi="Calibri" w:cs="Calibri"/>
          <w:bCs/>
        </w:rPr>
      </w:pPr>
      <w:r w:rsidRPr="00CB4D07">
        <w:rPr>
          <w:rFonts w:ascii="Calibri" w:eastAsia="Calibri" w:hAnsi="Calibri" w:cs="Calibri"/>
          <w:bCs/>
        </w:rPr>
        <w:t>Agir pour la biodiversité</w:t>
      </w:r>
    </w:p>
    <w:p w14:paraId="2D0DB39C" w14:textId="77777777" w:rsidR="00CB4D07" w:rsidRPr="00CB4D07" w:rsidRDefault="00CB4D07" w:rsidP="00B11129">
      <w:pPr>
        <w:numPr>
          <w:ilvl w:val="0"/>
          <w:numId w:val="27"/>
        </w:numPr>
        <w:spacing w:after="0" w:line="240" w:lineRule="auto"/>
        <w:contextualSpacing/>
        <w:jc w:val="both"/>
        <w:rPr>
          <w:rFonts w:ascii="Calibri" w:eastAsia="Calibri" w:hAnsi="Calibri" w:cs="Calibri"/>
          <w:bCs/>
        </w:rPr>
      </w:pPr>
      <w:r w:rsidRPr="00CB4D07">
        <w:rPr>
          <w:rFonts w:ascii="Calibri" w:eastAsia="Calibri" w:hAnsi="Calibri" w:cs="Calibri"/>
          <w:bCs/>
        </w:rPr>
        <w:t>Lutter contre les espèces invasives et intégrer la biodiversité dans nos politiques publiques.</w:t>
      </w:r>
    </w:p>
    <w:p w14:paraId="01B02D49" w14:textId="77777777" w:rsidR="00CB4D07" w:rsidRPr="00CB4D07" w:rsidRDefault="00CB4D07" w:rsidP="00B11129">
      <w:pPr>
        <w:numPr>
          <w:ilvl w:val="0"/>
          <w:numId w:val="27"/>
        </w:numPr>
        <w:spacing w:after="0" w:line="240" w:lineRule="auto"/>
        <w:contextualSpacing/>
        <w:jc w:val="both"/>
        <w:rPr>
          <w:rFonts w:ascii="Calibri" w:eastAsia="Calibri" w:hAnsi="Calibri" w:cs="Calibri"/>
          <w:bCs/>
        </w:rPr>
      </w:pPr>
      <w:r w:rsidRPr="00CB4D07">
        <w:rPr>
          <w:rFonts w:ascii="Calibri" w:eastAsia="Calibri" w:hAnsi="Calibri" w:cs="Calibri"/>
          <w:bCs/>
        </w:rPr>
        <w:t>Permettre de contribuer à l’effort collectif dans la démarche de maîtrise de l’énergie (sobriété/efficacité/énergies renouvelables).</w:t>
      </w:r>
    </w:p>
    <w:p w14:paraId="5EC5F32E" w14:textId="77777777" w:rsidR="00CB4D07" w:rsidRPr="00CB4D07" w:rsidRDefault="00CB4D07" w:rsidP="00B11129">
      <w:pPr>
        <w:numPr>
          <w:ilvl w:val="0"/>
          <w:numId w:val="27"/>
        </w:numPr>
        <w:spacing w:after="0" w:line="240" w:lineRule="auto"/>
        <w:contextualSpacing/>
        <w:jc w:val="both"/>
        <w:rPr>
          <w:rFonts w:ascii="Calibri" w:eastAsia="Calibri" w:hAnsi="Calibri" w:cs="Calibri"/>
          <w:bCs/>
        </w:rPr>
      </w:pPr>
      <w:r w:rsidRPr="00CB4D07">
        <w:rPr>
          <w:rFonts w:ascii="Calibri" w:eastAsia="Calibri" w:hAnsi="Calibri" w:cs="Calibri"/>
          <w:bCs/>
        </w:rPr>
        <w:t>Planifier et organiser des actions de sensibilisation</w:t>
      </w:r>
    </w:p>
    <w:p w14:paraId="6B0F0540" w14:textId="77777777" w:rsidR="00CB4D07" w:rsidRPr="00CB4D07" w:rsidRDefault="00CB4D07" w:rsidP="00B11129">
      <w:pPr>
        <w:numPr>
          <w:ilvl w:val="0"/>
          <w:numId w:val="27"/>
        </w:numPr>
        <w:spacing w:after="0" w:line="240" w:lineRule="auto"/>
        <w:contextualSpacing/>
        <w:jc w:val="both"/>
        <w:rPr>
          <w:rFonts w:ascii="Calibri" w:eastAsia="Calibri" w:hAnsi="Calibri" w:cs="Calibri"/>
          <w:bCs/>
        </w:rPr>
      </w:pPr>
      <w:r w:rsidRPr="00CB4D07">
        <w:rPr>
          <w:rFonts w:ascii="Calibri" w:eastAsia="Calibri" w:hAnsi="Calibri" w:cs="Calibri"/>
          <w:bCs/>
        </w:rPr>
        <w:t>Avec les acteurs du territoire, informer le plus grand nombre sur la préservation et reconquête de la biodiversité, la préservation de la ressource en eau, la production d'Energies Renouvelables et la maîtrise des consommations.</w:t>
      </w:r>
    </w:p>
    <w:p w14:paraId="3A495B6A" w14:textId="77777777" w:rsidR="002958E9" w:rsidRDefault="002958E9" w:rsidP="00CB4D07">
      <w:pPr>
        <w:spacing w:after="0" w:line="240" w:lineRule="auto"/>
        <w:jc w:val="both"/>
        <w:rPr>
          <w:rFonts w:ascii="Calibri" w:eastAsia="Calibri" w:hAnsi="Calibri" w:cs="Calibri"/>
          <w:bCs/>
        </w:rPr>
      </w:pPr>
    </w:p>
    <w:p w14:paraId="0B3ACC7B" w14:textId="2EA67E79" w:rsidR="00CB4D07" w:rsidRPr="00CB4D07" w:rsidRDefault="00CB4D07" w:rsidP="00CB4D07">
      <w:pPr>
        <w:spacing w:after="0" w:line="240" w:lineRule="auto"/>
        <w:jc w:val="both"/>
        <w:rPr>
          <w:rFonts w:ascii="Calibri" w:eastAsia="Calibri" w:hAnsi="Calibri" w:cs="Calibri"/>
          <w:bCs/>
        </w:rPr>
      </w:pPr>
      <w:r w:rsidRPr="00CB4D07">
        <w:rPr>
          <w:rFonts w:ascii="Calibri" w:eastAsia="Calibri" w:hAnsi="Calibri" w:cs="Calibri"/>
          <w:bCs/>
        </w:rPr>
        <w:t xml:space="preserve">La collectivité a engagé une démarche pour bénéficier de </w:t>
      </w:r>
      <w:r w:rsidRPr="000D000F">
        <w:rPr>
          <w:rFonts w:ascii="Calibri" w:eastAsia="Calibri" w:hAnsi="Calibri" w:cs="Calibri"/>
          <w:bCs/>
          <w:highlight w:val="yellow"/>
        </w:rPr>
        <w:t>l’Atlas de la Biodiversité Intercommunale (ABI)</w:t>
      </w:r>
      <w:r w:rsidR="000D000F">
        <w:rPr>
          <w:rFonts w:ascii="Calibri" w:eastAsia="Calibri" w:hAnsi="Calibri" w:cs="Calibri"/>
          <w:bCs/>
          <w:highlight w:val="yellow"/>
        </w:rPr>
        <w:t> </w:t>
      </w:r>
      <w:r w:rsidR="000D000F">
        <w:rPr>
          <w:rFonts w:ascii="Calibri" w:eastAsia="Calibri" w:hAnsi="Calibri" w:cs="Calibri"/>
          <w:bCs/>
        </w:rPr>
        <w:t>??</w:t>
      </w:r>
      <w:r w:rsidRPr="00CB4D07">
        <w:rPr>
          <w:rFonts w:ascii="Calibri" w:eastAsia="Calibri" w:hAnsi="Calibri" w:cs="Calibri"/>
          <w:bCs/>
        </w:rPr>
        <w:t xml:space="preserve"> sur les</w:t>
      </w:r>
      <w:r w:rsidR="00512B56">
        <w:rPr>
          <w:rFonts w:ascii="Calibri" w:eastAsia="Calibri" w:hAnsi="Calibri" w:cs="Calibri"/>
          <w:bCs/>
        </w:rPr>
        <w:t xml:space="preserve"> (</w:t>
      </w:r>
      <w:r w:rsidR="00512B56" w:rsidRPr="00512B56">
        <w:rPr>
          <w:rFonts w:ascii="Calibri" w:eastAsia="Calibri" w:hAnsi="Calibri" w:cs="Calibri"/>
          <w:bCs/>
          <w:highlight w:val="yellow"/>
        </w:rPr>
        <w:t>nombre de</w:t>
      </w:r>
      <w:r w:rsidR="00512B56">
        <w:rPr>
          <w:rFonts w:ascii="Calibri" w:eastAsia="Calibri" w:hAnsi="Calibri" w:cs="Calibri"/>
          <w:bCs/>
        </w:rPr>
        <w:t>)</w:t>
      </w:r>
      <w:r w:rsidR="00512B56" w:rsidRPr="00CB4D07">
        <w:rPr>
          <w:rFonts w:ascii="Calibri" w:eastAsia="Calibri" w:hAnsi="Calibri" w:cs="Calibri"/>
          <w:bCs/>
        </w:rPr>
        <w:t xml:space="preserve"> </w:t>
      </w:r>
      <w:r w:rsidRPr="00CB4D07">
        <w:rPr>
          <w:rFonts w:ascii="Calibri" w:eastAsia="Calibri" w:hAnsi="Calibri" w:cs="Calibri"/>
          <w:bCs/>
        </w:rPr>
        <w:t xml:space="preserve">communes. </w:t>
      </w:r>
      <w:r w:rsidR="002A7C10" w:rsidRPr="002A7C10">
        <w:rPr>
          <w:rFonts w:ascii="Calibri" w:eastAsia="Calibri" w:hAnsi="Calibri" w:cs="Calibri"/>
          <w:bCs/>
          <w:highlight w:val="yellow"/>
        </w:rPr>
        <w:t>A vérifier</w:t>
      </w:r>
    </w:p>
    <w:p w14:paraId="69C32F65" w14:textId="3675AD95" w:rsidR="00CB4D07" w:rsidRDefault="00CB4D07" w:rsidP="00CB4D07">
      <w:pPr>
        <w:spacing w:after="0" w:line="240" w:lineRule="auto"/>
        <w:jc w:val="both"/>
        <w:rPr>
          <w:rFonts w:ascii="Calibri" w:eastAsia="Calibri" w:hAnsi="Calibri" w:cs="Calibri"/>
          <w:bCs/>
        </w:rPr>
      </w:pPr>
    </w:p>
    <w:p w14:paraId="48EBBFA6" w14:textId="69D07203" w:rsidR="00CB4D07" w:rsidRDefault="00CB4D07" w:rsidP="00CB4D07">
      <w:pPr>
        <w:spacing w:after="0" w:line="240" w:lineRule="auto"/>
        <w:jc w:val="both"/>
        <w:rPr>
          <w:rFonts w:ascii="Calibri" w:eastAsia="Calibri" w:hAnsi="Calibri" w:cs="Calibri"/>
          <w:bCs/>
        </w:rPr>
      </w:pPr>
      <w:r w:rsidRPr="00CB4D07">
        <w:rPr>
          <w:rFonts w:ascii="Calibri" w:eastAsia="Calibri" w:hAnsi="Calibri" w:cs="Calibri"/>
          <w:bCs/>
        </w:rPr>
        <w:t>•</w:t>
      </w:r>
      <w:r w:rsidRPr="00CB4D07">
        <w:rPr>
          <w:rFonts w:ascii="Calibri" w:eastAsia="Calibri" w:hAnsi="Calibri" w:cs="Calibri"/>
          <w:bCs/>
        </w:rPr>
        <w:tab/>
      </w:r>
      <w:r w:rsidR="000D000F" w:rsidRPr="002A7C10">
        <w:rPr>
          <w:rFonts w:ascii="Calibri" w:eastAsia="Calibri" w:hAnsi="Calibri" w:cs="Calibri"/>
          <w:bCs/>
          <w:highlight w:val="yellow"/>
        </w:rPr>
        <w:t>Liste des communes</w:t>
      </w:r>
    </w:p>
    <w:p w14:paraId="7CB2C46A" w14:textId="77777777" w:rsidR="000D000F" w:rsidRPr="00CB4D07" w:rsidRDefault="000D000F" w:rsidP="00CB4D07">
      <w:pPr>
        <w:spacing w:after="0" w:line="240" w:lineRule="auto"/>
        <w:jc w:val="both"/>
        <w:rPr>
          <w:rFonts w:ascii="Calibri" w:eastAsia="Calibri" w:hAnsi="Calibri" w:cs="Calibri"/>
          <w:bCs/>
        </w:rPr>
      </w:pPr>
    </w:p>
    <w:p w14:paraId="17241CB2" w14:textId="1990C19A" w:rsidR="00CB4D07" w:rsidRPr="00CB4D07" w:rsidRDefault="00512B56" w:rsidP="00CB4D07">
      <w:pPr>
        <w:spacing w:after="0" w:line="240" w:lineRule="auto"/>
        <w:jc w:val="both"/>
        <w:rPr>
          <w:rFonts w:ascii="Calibri" w:eastAsia="Calibri" w:hAnsi="Calibri" w:cs="Calibri"/>
          <w:bCs/>
        </w:rPr>
      </w:pPr>
      <w:r w:rsidRPr="00512B56">
        <w:rPr>
          <w:highlight w:val="yellow"/>
        </w:rPr>
        <w:t>Dénomination de l’EPCI</w:t>
      </w:r>
      <w:r w:rsidRPr="00CB4D07">
        <w:rPr>
          <w:rFonts w:ascii="Calibri" w:eastAsia="Calibri" w:hAnsi="Calibri" w:cs="Calibri"/>
          <w:bCs/>
        </w:rPr>
        <w:t xml:space="preserve"> </w:t>
      </w:r>
      <w:r w:rsidR="00CB4D07" w:rsidRPr="00CB4D07">
        <w:rPr>
          <w:rFonts w:ascii="Calibri" w:eastAsia="Calibri" w:hAnsi="Calibri" w:cs="Calibri"/>
          <w:bCs/>
        </w:rPr>
        <w:t xml:space="preserve">mène divers projets pour améliorer la préservation des espaces naturels. En particulier, </w:t>
      </w:r>
      <w:r w:rsidR="004F4ADF" w:rsidRPr="00512B56">
        <w:rPr>
          <w:highlight w:val="yellow"/>
        </w:rPr>
        <w:t>Dénomination de l’EPCI</w:t>
      </w:r>
      <w:r w:rsidR="004F4ADF" w:rsidRPr="00CB4D07">
        <w:rPr>
          <w:rFonts w:ascii="Calibri" w:eastAsia="Calibri" w:hAnsi="Calibri" w:cs="Calibri"/>
          <w:bCs/>
        </w:rPr>
        <w:t xml:space="preserve"> </w:t>
      </w:r>
      <w:r w:rsidR="00CB4D07" w:rsidRPr="00CB4D07">
        <w:rPr>
          <w:rFonts w:ascii="Calibri" w:eastAsia="Calibri" w:hAnsi="Calibri" w:cs="Calibri"/>
          <w:bCs/>
        </w:rPr>
        <w:t xml:space="preserve">souhaite mettre en œuvre des actions pour protéger la biodiversité nocturne en réduisant la pollution lumineuse. </w:t>
      </w:r>
    </w:p>
    <w:p w14:paraId="5F6DA6E3" w14:textId="0A1689CB" w:rsidR="00CB4D07" w:rsidRPr="00CB4D07" w:rsidRDefault="00CB4D07" w:rsidP="00CB4D07">
      <w:pPr>
        <w:spacing w:after="0" w:line="240" w:lineRule="auto"/>
        <w:jc w:val="both"/>
        <w:rPr>
          <w:rFonts w:ascii="Calibri" w:eastAsia="Calibri" w:hAnsi="Calibri" w:cs="Calibri"/>
          <w:bCs/>
        </w:rPr>
      </w:pPr>
      <w:r w:rsidRPr="00CB4D07">
        <w:rPr>
          <w:rFonts w:ascii="Calibri" w:eastAsia="Calibri" w:hAnsi="Calibri" w:cs="Calibri"/>
          <w:bCs/>
        </w:rPr>
        <w:t>Cette politique vise à préserver les écosystèmes en créant des corridors écologiques permettant aux espèces nocturnes de se déplacer sans être perturbées par l'éclairage artificiel.</w:t>
      </w:r>
    </w:p>
    <w:p w14:paraId="0CA84496" w14:textId="77777777" w:rsidR="00CB4D07" w:rsidRPr="00CB4D07" w:rsidRDefault="00CB4D07" w:rsidP="00CB4D07">
      <w:pPr>
        <w:spacing w:after="0" w:line="240" w:lineRule="auto"/>
        <w:jc w:val="both"/>
        <w:rPr>
          <w:rFonts w:ascii="Calibri" w:eastAsia="Calibri" w:hAnsi="Calibri" w:cs="Calibri"/>
          <w:bCs/>
        </w:rPr>
      </w:pPr>
    </w:p>
    <w:p w14:paraId="2E5BD41C" w14:textId="5ACB2784" w:rsidR="00CB4D07" w:rsidRPr="00CB4D07" w:rsidRDefault="00CB4D07" w:rsidP="00CB4D07">
      <w:pPr>
        <w:spacing w:after="0" w:line="240" w:lineRule="auto"/>
        <w:jc w:val="both"/>
        <w:rPr>
          <w:rFonts w:ascii="Calibri" w:eastAsia="Calibri" w:hAnsi="Calibri" w:cs="Calibri"/>
          <w:bCs/>
        </w:rPr>
      </w:pPr>
      <w:r w:rsidRPr="00CB4D07">
        <w:rPr>
          <w:rFonts w:ascii="Calibri" w:eastAsia="Calibri" w:hAnsi="Calibri" w:cs="Calibri"/>
          <w:bCs/>
        </w:rPr>
        <w:t>Parmi les axes stratégiques identifiés :</w:t>
      </w:r>
    </w:p>
    <w:p w14:paraId="13E4F0B2" w14:textId="77777777" w:rsidR="00CB4D07" w:rsidRPr="00CB4D07" w:rsidRDefault="00CB4D07" w:rsidP="00CB4D07">
      <w:pPr>
        <w:spacing w:after="0" w:line="240" w:lineRule="auto"/>
        <w:jc w:val="both"/>
        <w:rPr>
          <w:rFonts w:ascii="Calibri" w:eastAsia="Calibri" w:hAnsi="Calibri" w:cs="Calibri"/>
          <w:bCs/>
        </w:rPr>
      </w:pPr>
    </w:p>
    <w:p w14:paraId="50F28AD2" w14:textId="77777777" w:rsidR="00CB4D07" w:rsidRPr="00B11129" w:rsidRDefault="00CB4D07" w:rsidP="00CB4D07">
      <w:pPr>
        <w:numPr>
          <w:ilvl w:val="0"/>
          <w:numId w:val="24"/>
        </w:numPr>
        <w:spacing w:after="0" w:line="240" w:lineRule="auto"/>
        <w:contextualSpacing/>
        <w:jc w:val="both"/>
        <w:rPr>
          <w:rFonts w:ascii="Calibri" w:eastAsia="Calibri" w:hAnsi="Calibri" w:cs="Calibri"/>
          <w:bCs/>
        </w:rPr>
      </w:pPr>
      <w:r w:rsidRPr="00B11129">
        <w:rPr>
          <w:rFonts w:ascii="Calibri" w:eastAsia="Calibri" w:hAnsi="Calibri" w:cs="Calibri"/>
          <w:bCs/>
        </w:rPr>
        <w:t xml:space="preserve">La réduction de la Pollution Lumineuse : </w:t>
      </w:r>
    </w:p>
    <w:p w14:paraId="03C46FF0" w14:textId="77777777" w:rsidR="00CB4D07" w:rsidRPr="00B11129" w:rsidRDefault="00CB4D07" w:rsidP="00CB4D07">
      <w:pPr>
        <w:spacing w:after="0" w:line="240" w:lineRule="auto"/>
        <w:ind w:left="720"/>
        <w:contextualSpacing/>
        <w:jc w:val="both"/>
        <w:rPr>
          <w:rFonts w:ascii="Calibri" w:eastAsia="Calibri" w:hAnsi="Calibri" w:cs="Calibri"/>
          <w:bCs/>
        </w:rPr>
      </w:pPr>
      <w:r w:rsidRPr="00B11129">
        <w:rPr>
          <w:rFonts w:ascii="Calibri" w:eastAsia="Calibri" w:hAnsi="Calibri" w:cs="Calibri"/>
          <w:bCs/>
        </w:rPr>
        <w:t>Diminuer l'impact des éclairages publics pour créer des zones adaptées à la biodiversité</w:t>
      </w:r>
    </w:p>
    <w:p w14:paraId="2206EEE8" w14:textId="77777777" w:rsidR="00CB4D07" w:rsidRPr="00B11129" w:rsidRDefault="00CB4D07" w:rsidP="00CB4D07">
      <w:pPr>
        <w:spacing w:after="0" w:line="240" w:lineRule="auto"/>
        <w:jc w:val="both"/>
        <w:rPr>
          <w:rFonts w:ascii="Calibri" w:eastAsia="Calibri" w:hAnsi="Calibri" w:cs="Calibri"/>
          <w:bCs/>
        </w:rPr>
      </w:pPr>
    </w:p>
    <w:p w14:paraId="7F07EDE7" w14:textId="77777777" w:rsidR="00CB4D07" w:rsidRPr="00B11129" w:rsidRDefault="00CB4D07" w:rsidP="00CB4D07">
      <w:pPr>
        <w:numPr>
          <w:ilvl w:val="0"/>
          <w:numId w:val="24"/>
        </w:numPr>
        <w:spacing w:after="0" w:line="240" w:lineRule="auto"/>
        <w:contextualSpacing/>
        <w:jc w:val="both"/>
        <w:rPr>
          <w:rFonts w:ascii="Calibri" w:eastAsia="Calibri" w:hAnsi="Calibri" w:cs="Calibri"/>
          <w:bCs/>
        </w:rPr>
      </w:pPr>
      <w:r w:rsidRPr="00B11129">
        <w:rPr>
          <w:rFonts w:ascii="Calibri" w:eastAsia="Calibri" w:hAnsi="Calibri" w:cs="Calibri"/>
          <w:bCs/>
        </w:rPr>
        <w:t xml:space="preserve">La Protection de la Faune Nocturne : </w:t>
      </w:r>
    </w:p>
    <w:p w14:paraId="6E3EBCE3" w14:textId="3EB7E7D7" w:rsidR="00CB4D07" w:rsidRPr="00B11129" w:rsidRDefault="00CB4D07" w:rsidP="00CB4D07">
      <w:pPr>
        <w:spacing w:after="0" w:line="240" w:lineRule="auto"/>
        <w:ind w:left="720"/>
        <w:contextualSpacing/>
        <w:jc w:val="both"/>
        <w:rPr>
          <w:rFonts w:ascii="Calibri" w:eastAsia="Calibri" w:hAnsi="Calibri" w:cs="Calibri"/>
          <w:bCs/>
        </w:rPr>
      </w:pPr>
      <w:r w:rsidRPr="00B11129">
        <w:rPr>
          <w:rFonts w:ascii="Calibri" w:eastAsia="Calibri" w:hAnsi="Calibri" w:cs="Calibri"/>
          <w:bCs/>
        </w:rPr>
        <w:t>Diminuer les perturbations des déplacements et des comportements naturels des animaux nocturnes, comme les chauves-souris et certains insectes.</w:t>
      </w:r>
    </w:p>
    <w:p w14:paraId="77E147F9" w14:textId="77777777" w:rsidR="00CB4D07" w:rsidRPr="00B11129" w:rsidRDefault="00CB4D07" w:rsidP="00CB4D07">
      <w:pPr>
        <w:spacing w:after="0" w:line="240" w:lineRule="auto"/>
        <w:jc w:val="both"/>
        <w:rPr>
          <w:rFonts w:ascii="Calibri" w:eastAsia="Calibri" w:hAnsi="Calibri" w:cs="Calibri"/>
          <w:bCs/>
        </w:rPr>
      </w:pPr>
    </w:p>
    <w:p w14:paraId="189310DF" w14:textId="77777777" w:rsidR="00CB4D07" w:rsidRPr="00B11129" w:rsidRDefault="00CB4D07" w:rsidP="00CB4D07">
      <w:pPr>
        <w:numPr>
          <w:ilvl w:val="0"/>
          <w:numId w:val="24"/>
        </w:numPr>
        <w:spacing w:after="0" w:line="240" w:lineRule="auto"/>
        <w:contextualSpacing/>
        <w:jc w:val="both"/>
        <w:rPr>
          <w:rFonts w:ascii="Calibri" w:eastAsia="Calibri" w:hAnsi="Calibri" w:cs="Calibri"/>
          <w:bCs/>
        </w:rPr>
      </w:pPr>
      <w:r w:rsidRPr="00B11129">
        <w:rPr>
          <w:rFonts w:ascii="Calibri" w:eastAsia="Calibri" w:hAnsi="Calibri" w:cs="Calibri"/>
          <w:bCs/>
        </w:rPr>
        <w:t xml:space="preserve">L’amélioration de la Qualité de Vie : </w:t>
      </w:r>
    </w:p>
    <w:p w14:paraId="5CFB06C3" w14:textId="1DB0ECC4" w:rsidR="00CB4D07" w:rsidRPr="00B11129" w:rsidRDefault="00CB4D07" w:rsidP="00CB4D07">
      <w:pPr>
        <w:spacing w:after="0" w:line="240" w:lineRule="auto"/>
        <w:ind w:left="720"/>
        <w:contextualSpacing/>
        <w:jc w:val="both"/>
        <w:rPr>
          <w:rFonts w:ascii="Calibri" w:eastAsia="Calibri" w:hAnsi="Calibri" w:cs="Calibri"/>
          <w:bCs/>
        </w:rPr>
      </w:pPr>
      <w:r w:rsidRPr="00B11129">
        <w:rPr>
          <w:rFonts w:ascii="Calibri" w:eastAsia="Calibri" w:hAnsi="Calibri" w:cs="Calibri"/>
          <w:bCs/>
        </w:rPr>
        <w:t>Sensibiliser les collectivités à l'importance de la nuit pour la santé humaine et la biodiversité.</w:t>
      </w:r>
    </w:p>
    <w:p w14:paraId="253F592F" w14:textId="77777777" w:rsidR="00CB4D07" w:rsidRPr="00B11129" w:rsidRDefault="00CB4D07" w:rsidP="00CB4D07">
      <w:pPr>
        <w:spacing w:after="0" w:line="240" w:lineRule="auto"/>
        <w:jc w:val="both"/>
        <w:rPr>
          <w:rFonts w:ascii="Calibri" w:eastAsia="Calibri" w:hAnsi="Calibri" w:cs="Calibri"/>
          <w:bCs/>
        </w:rPr>
      </w:pPr>
    </w:p>
    <w:p w14:paraId="0A4D1A99" w14:textId="77777777" w:rsidR="00CB4D07" w:rsidRPr="00B11129" w:rsidRDefault="00CB4D07" w:rsidP="00CB4D07">
      <w:pPr>
        <w:numPr>
          <w:ilvl w:val="0"/>
          <w:numId w:val="24"/>
        </w:numPr>
        <w:spacing w:after="0" w:line="240" w:lineRule="auto"/>
        <w:contextualSpacing/>
        <w:jc w:val="both"/>
        <w:rPr>
          <w:rFonts w:ascii="Calibri" w:eastAsia="Calibri" w:hAnsi="Calibri" w:cs="Calibri"/>
          <w:bCs/>
        </w:rPr>
      </w:pPr>
      <w:r w:rsidRPr="00B11129">
        <w:rPr>
          <w:rFonts w:ascii="Calibri" w:eastAsia="Calibri" w:hAnsi="Calibri" w:cs="Calibri"/>
          <w:bCs/>
        </w:rPr>
        <w:t>Les économies d'Énergie :</w:t>
      </w:r>
    </w:p>
    <w:p w14:paraId="4B020DBD" w14:textId="4E1858CC" w:rsidR="00CB4D07" w:rsidRPr="00B11129" w:rsidRDefault="00CB4D07" w:rsidP="00CB4D07">
      <w:pPr>
        <w:spacing w:after="0" w:line="240" w:lineRule="auto"/>
        <w:ind w:left="720"/>
        <w:contextualSpacing/>
        <w:jc w:val="both"/>
        <w:rPr>
          <w:rFonts w:ascii="Calibri" w:eastAsia="Calibri" w:hAnsi="Calibri" w:cs="Calibri"/>
          <w:bCs/>
        </w:rPr>
      </w:pPr>
      <w:r w:rsidRPr="00B11129">
        <w:rPr>
          <w:rFonts w:ascii="Calibri" w:eastAsia="Calibri" w:hAnsi="Calibri" w:cs="Calibri"/>
          <w:bCs/>
        </w:rPr>
        <w:t>Rendre plus sobre et plus respectu</w:t>
      </w:r>
      <w:r w:rsidR="00382F91" w:rsidRPr="00B11129">
        <w:rPr>
          <w:rFonts w:ascii="Calibri" w:eastAsia="Calibri" w:hAnsi="Calibri" w:cs="Calibri"/>
          <w:bCs/>
        </w:rPr>
        <w:t>eux</w:t>
      </w:r>
      <w:r w:rsidRPr="00B11129">
        <w:rPr>
          <w:rFonts w:ascii="Calibri" w:eastAsia="Calibri" w:hAnsi="Calibri" w:cs="Calibri"/>
          <w:bCs/>
        </w:rPr>
        <w:t xml:space="preserve"> le parc d’éclairage public des collectivités.</w:t>
      </w:r>
    </w:p>
    <w:p w14:paraId="28D5E14E" w14:textId="77777777" w:rsidR="00CB4D07" w:rsidRPr="00CB4D07" w:rsidRDefault="00CB4D07" w:rsidP="00CB4D07">
      <w:pPr>
        <w:spacing w:after="0" w:line="240" w:lineRule="auto"/>
        <w:jc w:val="both"/>
        <w:rPr>
          <w:rFonts w:ascii="Calibri" w:eastAsia="Calibri" w:hAnsi="Calibri" w:cs="Calibri"/>
          <w:bCs/>
        </w:rPr>
      </w:pPr>
    </w:p>
    <w:p w14:paraId="3031386A" w14:textId="17137808" w:rsidR="00CB4D07" w:rsidRPr="00CB4D07" w:rsidRDefault="00CB4D07" w:rsidP="001A4586">
      <w:pPr>
        <w:jc w:val="both"/>
        <w:rPr>
          <w:b/>
          <w:sz w:val="28"/>
          <w:szCs w:val="28"/>
        </w:rPr>
      </w:pPr>
      <w:r w:rsidRPr="00CB4D07">
        <w:rPr>
          <w:rFonts w:eastAsia="Calibri" w:cstheme="minorHAnsi"/>
          <w:b/>
          <w:sz w:val="28"/>
          <w:szCs w:val="28"/>
        </w:rPr>
        <w:t>Le Syndicat Départemental d’Énergie des Côtes d’Armor</w:t>
      </w:r>
      <w:r>
        <w:rPr>
          <w:rFonts w:eastAsia="Calibri" w:cstheme="minorHAnsi"/>
          <w:b/>
          <w:sz w:val="28"/>
          <w:szCs w:val="28"/>
        </w:rPr>
        <w:t xml:space="preserve"> (SDE22)</w:t>
      </w:r>
      <w:r w:rsidRPr="00CB4D07">
        <w:rPr>
          <w:rFonts w:eastAsia="Calibri" w:cstheme="minorHAnsi"/>
          <w:b/>
          <w:sz w:val="28"/>
          <w:szCs w:val="28"/>
        </w:rPr>
        <w:t>,</w:t>
      </w:r>
    </w:p>
    <w:p w14:paraId="6B4E147F" w14:textId="0AE5527A" w:rsidR="002958E9" w:rsidRDefault="002958E9" w:rsidP="002958E9">
      <w:pPr>
        <w:jc w:val="both"/>
      </w:pPr>
      <w:r>
        <w:t xml:space="preserve">Le SDE22 est gestionnaire de 126 </w:t>
      </w:r>
      <w:r w:rsidR="002A7C10">
        <w:t>210</w:t>
      </w:r>
      <w:r>
        <w:t xml:space="preserve"> points lumineux et de </w:t>
      </w:r>
      <w:r w:rsidR="002A7C10">
        <w:t>6238</w:t>
      </w:r>
      <w:r>
        <w:t xml:space="preserve"> commandes d’éclairage public.</w:t>
      </w:r>
    </w:p>
    <w:p w14:paraId="2D752BBF" w14:textId="19262AB2" w:rsidR="002958E9" w:rsidRDefault="002958E9" w:rsidP="002958E9">
      <w:pPr>
        <w:jc w:val="both"/>
      </w:pPr>
      <w:r>
        <w:t>Il est compétent pour la réalisation de travaux neufs en éclairage public sur l’ensemble des 34</w:t>
      </w:r>
      <w:r w:rsidR="002A7C10">
        <w:t>4</w:t>
      </w:r>
      <w:r>
        <w:t xml:space="preserve"> communes du département des Côtes d’Armor. Le SDE22 est maître d'ouvrage de ces investissements. </w:t>
      </w:r>
    </w:p>
    <w:p w14:paraId="031C0F8A" w14:textId="77777777" w:rsidR="002958E9" w:rsidRDefault="002958E9" w:rsidP="002958E9">
      <w:pPr>
        <w:ind w:left="360"/>
        <w:jc w:val="both"/>
      </w:pPr>
      <w:r>
        <w:t xml:space="preserve">Il dispose aussi en interne d'un bureau d'études et d'une cellule maintenance. </w:t>
      </w:r>
    </w:p>
    <w:p w14:paraId="668CC9BE" w14:textId="77777777" w:rsidR="00703964" w:rsidRPr="00703964" w:rsidRDefault="00703964" w:rsidP="00703964">
      <w:pPr>
        <w:jc w:val="both"/>
      </w:pPr>
    </w:p>
    <w:p w14:paraId="42246919" w14:textId="546189B9" w:rsidR="00703964" w:rsidRPr="00703964" w:rsidRDefault="00703964" w:rsidP="00703964">
      <w:pPr>
        <w:jc w:val="both"/>
      </w:pPr>
      <w:r w:rsidRPr="00703964">
        <w:t>Le SDE22 est maître d’ouvrage de l’éclairage public des 34</w:t>
      </w:r>
      <w:r w:rsidR="002A7C10">
        <w:t>4</w:t>
      </w:r>
      <w:r w:rsidRPr="00703964">
        <w:t xml:space="preserve"> collectivités du département des Côtes d’Armor et des 8 EPCI qui lui ont confié la compétence et est maître d’œuvre des travaux sur les réseaux d’éclairage public. </w:t>
      </w:r>
    </w:p>
    <w:p w14:paraId="09E0C438" w14:textId="53F5BDBC" w:rsidR="00697E1E" w:rsidRDefault="00703964" w:rsidP="00703964">
      <w:pPr>
        <w:jc w:val="both"/>
      </w:pPr>
      <w:r w:rsidRPr="00703964">
        <w:t xml:space="preserve">A l’échelle de </w:t>
      </w:r>
      <w:r w:rsidR="00512B56" w:rsidRPr="00512B56">
        <w:rPr>
          <w:highlight w:val="yellow"/>
        </w:rPr>
        <w:t>Dénomination de l’EPCI</w:t>
      </w:r>
      <w:r w:rsidRPr="00703964">
        <w:t xml:space="preserve">, le SDE22 gère </w:t>
      </w:r>
      <w:r w:rsidR="00382F91" w:rsidRPr="00703964">
        <w:t xml:space="preserve">les </w:t>
      </w:r>
      <w:r w:rsidR="00512B56">
        <w:t>(</w:t>
      </w:r>
      <w:r w:rsidR="00512B56" w:rsidRPr="00512B56">
        <w:rPr>
          <w:highlight w:val="yellow"/>
        </w:rPr>
        <w:t>nombre de</w:t>
      </w:r>
      <w:r w:rsidR="00512B56">
        <w:t xml:space="preserve">) </w:t>
      </w:r>
      <w:r w:rsidR="00382F91" w:rsidRPr="00703964">
        <w:t>foyers</w:t>
      </w:r>
      <w:r w:rsidR="00382F91">
        <w:t xml:space="preserve"> répartis</w:t>
      </w:r>
      <w:r w:rsidR="00697E1E">
        <w:t xml:space="preserve"> sur les </w:t>
      </w:r>
      <w:r w:rsidR="00512B56" w:rsidRPr="00512B56">
        <w:rPr>
          <w:highlight w:val="yellow"/>
        </w:rPr>
        <w:t>(nombre de)</w:t>
      </w:r>
      <w:r w:rsidR="00512B56">
        <w:t xml:space="preserve"> </w:t>
      </w:r>
      <w:r w:rsidRPr="00703964">
        <w:t>collectivités.</w:t>
      </w:r>
      <w:r w:rsidR="00697E1E" w:rsidRPr="00697E1E">
        <w:t xml:space="preserve"> </w:t>
      </w:r>
    </w:p>
    <w:p w14:paraId="0ED44D8C" w14:textId="77777777" w:rsidR="00703964" w:rsidRPr="00703964" w:rsidRDefault="00697E1E" w:rsidP="00703964">
      <w:pPr>
        <w:jc w:val="both"/>
      </w:pPr>
      <w:r w:rsidRPr="00703964">
        <w:t>Le Syndicat Départemental d'Énergie des Côtes d'Armor (SDE22) travaille depuis de nombreuses années avec les collectivités du département sur les thématiques de la maîtrise de l'énergie.</w:t>
      </w:r>
    </w:p>
    <w:p w14:paraId="01AFA5FE" w14:textId="77777777" w:rsidR="00703964" w:rsidRPr="00703964" w:rsidRDefault="00703964" w:rsidP="00703964">
      <w:pPr>
        <w:jc w:val="both"/>
      </w:pPr>
      <w:r w:rsidRPr="00703964">
        <w:t xml:space="preserve">Il définit avec les communes les conditions d’éclairage du domaine public, conseille les collectivités en matière d’investissement, assure la maintenance et réalise les travaux de rénovation. </w:t>
      </w:r>
    </w:p>
    <w:p w14:paraId="4A7FA23E" w14:textId="1363E24B" w:rsidR="00766175" w:rsidRDefault="00703964" w:rsidP="00703964">
      <w:pPr>
        <w:jc w:val="both"/>
      </w:pPr>
      <w:r w:rsidRPr="00703964">
        <w:t>Le SDE22 cofinance les collectivités et est garant du respect des normes et obligations réglementaires comme l’arrêté de lutte contre sur les nuisances lumineuses de décembre 2018.</w:t>
      </w:r>
    </w:p>
    <w:p w14:paraId="79ED0938" w14:textId="1587AF78" w:rsidR="000D000F" w:rsidRDefault="000D000F" w:rsidP="00703964">
      <w:pPr>
        <w:jc w:val="both"/>
      </w:pPr>
    </w:p>
    <w:p w14:paraId="11634778" w14:textId="3015B5B6" w:rsidR="000D000F" w:rsidRDefault="000D000F" w:rsidP="00703964">
      <w:pPr>
        <w:jc w:val="both"/>
      </w:pPr>
    </w:p>
    <w:p w14:paraId="4BE8C5E8" w14:textId="77777777" w:rsidR="000F1CEE" w:rsidRDefault="000F1CEE" w:rsidP="00703964">
      <w:pPr>
        <w:jc w:val="both"/>
      </w:pPr>
    </w:p>
    <w:p w14:paraId="6DC67F22" w14:textId="77777777" w:rsidR="000D000F" w:rsidRDefault="000D000F" w:rsidP="00703964">
      <w:pPr>
        <w:jc w:val="both"/>
      </w:pPr>
    </w:p>
    <w:p w14:paraId="1D7FFB5F" w14:textId="77777777" w:rsidR="002174CE" w:rsidRPr="004278BC" w:rsidRDefault="002174CE" w:rsidP="002174CE">
      <w:pPr>
        <w:rPr>
          <w:b/>
          <w:sz w:val="40"/>
          <w:szCs w:val="40"/>
        </w:rPr>
      </w:pPr>
      <w:r>
        <w:rPr>
          <w:b/>
          <w:sz w:val="40"/>
          <w:szCs w:val="40"/>
        </w:rPr>
        <w:t>L’échange de données exploitables et mutualisables</w:t>
      </w:r>
      <w:r w:rsidR="00E41580">
        <w:rPr>
          <w:b/>
          <w:sz w:val="40"/>
          <w:szCs w:val="40"/>
        </w:rPr>
        <w:t xml:space="preserve"> </w:t>
      </w:r>
    </w:p>
    <w:p w14:paraId="51DB23A2" w14:textId="77777777" w:rsidR="00915130" w:rsidRDefault="00915130" w:rsidP="002174CE">
      <w:r>
        <w:t xml:space="preserve">Le </w:t>
      </w:r>
      <w:r w:rsidR="000B6D77">
        <w:t>SDE22</w:t>
      </w:r>
      <w:r>
        <w:t xml:space="preserve"> met à disposition ses données concernant l’éclairage public notamment concernant</w:t>
      </w:r>
      <w:r w:rsidR="0096141B">
        <w:t> :</w:t>
      </w:r>
    </w:p>
    <w:p w14:paraId="5EF2D990" w14:textId="77777777" w:rsidR="00915130" w:rsidRDefault="00915130" w:rsidP="00915130">
      <w:pPr>
        <w:pStyle w:val="Paragraphedeliste"/>
        <w:numPr>
          <w:ilvl w:val="0"/>
          <w:numId w:val="20"/>
        </w:numPr>
      </w:pPr>
      <w:r>
        <w:t xml:space="preserve">La situation </w:t>
      </w:r>
      <w:r w:rsidR="0096141B">
        <w:t>et les caractéristiques des points lumineux</w:t>
      </w:r>
    </w:p>
    <w:p w14:paraId="25914FBE" w14:textId="77777777" w:rsidR="00915130" w:rsidRDefault="00915130" w:rsidP="00915130">
      <w:pPr>
        <w:pStyle w:val="Paragraphedeliste"/>
        <w:numPr>
          <w:ilvl w:val="0"/>
          <w:numId w:val="20"/>
        </w:numPr>
      </w:pPr>
      <w:r>
        <w:t>Les durées de fonctionnement (si mises à jour)</w:t>
      </w:r>
    </w:p>
    <w:p w14:paraId="52ACEB1D" w14:textId="77777777" w:rsidR="00915130" w:rsidRDefault="00915130" w:rsidP="00915130">
      <w:pPr>
        <w:pStyle w:val="Paragraphedeliste"/>
        <w:numPr>
          <w:ilvl w:val="0"/>
          <w:numId w:val="20"/>
        </w:numPr>
      </w:pPr>
      <w:r>
        <w:t xml:space="preserve">Les puissances  </w:t>
      </w:r>
    </w:p>
    <w:p w14:paraId="4EC48F20" w14:textId="77777777" w:rsidR="002174CE" w:rsidRDefault="00F11A83" w:rsidP="00915130">
      <w:pPr>
        <w:pStyle w:val="Paragraphedeliste"/>
        <w:numPr>
          <w:ilvl w:val="0"/>
          <w:numId w:val="20"/>
        </w:numPr>
      </w:pPr>
      <w:r>
        <w:t>Les</w:t>
      </w:r>
      <w:r w:rsidR="00915130">
        <w:t xml:space="preserve"> températures de couleur </w:t>
      </w:r>
    </w:p>
    <w:p w14:paraId="65B3A56D" w14:textId="0446D597" w:rsidR="00467FF8" w:rsidRDefault="00467FF8" w:rsidP="001A4586">
      <w:pPr>
        <w:jc w:val="both"/>
      </w:pPr>
      <w:r>
        <w:t xml:space="preserve">Dans le cadre de </w:t>
      </w:r>
      <w:r w:rsidRPr="000D000F">
        <w:rPr>
          <w:highlight w:val="yellow"/>
        </w:rPr>
        <w:t xml:space="preserve">l’Atlas de Biodiversité Intercommunale de </w:t>
      </w:r>
      <w:r w:rsidR="00512B56">
        <w:rPr>
          <w:highlight w:val="yellow"/>
        </w:rPr>
        <w:t>« </w:t>
      </w:r>
      <w:r w:rsidR="00512B56" w:rsidRPr="00512B56">
        <w:rPr>
          <w:highlight w:val="yellow"/>
        </w:rPr>
        <w:t>Dénomination de l’EPCI</w:t>
      </w:r>
      <w:r w:rsidR="00512B56">
        <w:t> »</w:t>
      </w:r>
      <w:r>
        <w:t xml:space="preserve"> une synthèse des données naturalistes du territoire a été réalisée.</w:t>
      </w:r>
    </w:p>
    <w:p w14:paraId="37DE2888" w14:textId="77777777" w:rsidR="00467FF8" w:rsidRDefault="00467FF8" w:rsidP="001A4586">
      <w:pPr>
        <w:jc w:val="both"/>
      </w:pPr>
      <w:r>
        <w:t xml:space="preserve">Les données « publiques » collectées lors de cette synthèse peuvent être mise à disposition de ceux qui en font la demande, dans un format compatible avec le </w:t>
      </w:r>
      <w:r w:rsidRPr="00467FF8">
        <w:t>Standard d</w:t>
      </w:r>
      <w:r>
        <w:t>’</w:t>
      </w:r>
      <w:r w:rsidRPr="00467FF8">
        <w:t>échange des données naturalistes</w:t>
      </w:r>
      <w:r>
        <w:t xml:space="preserve"> régionale</w:t>
      </w:r>
      <w:r w:rsidR="00E46AD9">
        <w:t>s</w:t>
      </w:r>
      <w:r>
        <w:t>.</w:t>
      </w:r>
    </w:p>
    <w:p w14:paraId="1A736101" w14:textId="77777777" w:rsidR="00766175" w:rsidRPr="004278BC" w:rsidRDefault="00766175">
      <w:pPr>
        <w:rPr>
          <w:b/>
          <w:sz w:val="40"/>
          <w:szCs w:val="40"/>
        </w:rPr>
      </w:pPr>
      <w:r w:rsidRPr="004278BC">
        <w:rPr>
          <w:b/>
          <w:sz w:val="40"/>
          <w:szCs w:val="40"/>
        </w:rPr>
        <w:t xml:space="preserve">Les engagements de la charte </w:t>
      </w:r>
    </w:p>
    <w:p w14:paraId="575D33AF" w14:textId="77777777" w:rsidR="00D61179" w:rsidRDefault="00D61179" w:rsidP="001A4586">
      <w:pPr>
        <w:jc w:val="both"/>
      </w:pPr>
      <w:r>
        <w:t xml:space="preserve">Considérant que : </w:t>
      </w:r>
    </w:p>
    <w:p w14:paraId="2D94B5FD" w14:textId="77777777" w:rsidR="00D61179" w:rsidRDefault="00D61179" w:rsidP="001A4586">
      <w:pPr>
        <w:jc w:val="both"/>
      </w:pPr>
      <w:r>
        <w:t xml:space="preserve">• l’éclairage public a une incidence sur les consommations d’énergie et le budget des collectivités, </w:t>
      </w:r>
    </w:p>
    <w:p w14:paraId="3D167697" w14:textId="77777777" w:rsidR="00D61179" w:rsidRDefault="00D61179" w:rsidP="001A4586">
      <w:pPr>
        <w:jc w:val="both"/>
      </w:pPr>
      <w:r>
        <w:t>• l’éclairage public peut</w:t>
      </w:r>
      <w:r w:rsidR="000B527B">
        <w:t xml:space="preserve"> </w:t>
      </w:r>
      <w:r>
        <w:t>être responsable de</w:t>
      </w:r>
      <w:r w:rsidR="00E41580">
        <w:t xml:space="preserve"> </w:t>
      </w:r>
      <w:r>
        <w:t xml:space="preserve">pollution lumineuse nocturne et de perturbations des écosystèmes, </w:t>
      </w:r>
    </w:p>
    <w:p w14:paraId="21D043DE" w14:textId="77777777" w:rsidR="00467FF8" w:rsidRDefault="00467FF8" w:rsidP="001A4586">
      <w:pPr>
        <w:jc w:val="both"/>
      </w:pPr>
      <w:r>
        <w:t>• l’éclairage public peut avoir une incidence sur la santé humaine (</w:t>
      </w:r>
      <w:r w:rsidRPr="00467FF8">
        <w:t>troubles du sommeil</w:t>
      </w:r>
      <w:r>
        <w:t xml:space="preserve">, </w:t>
      </w:r>
      <w:r w:rsidR="00711A73" w:rsidRPr="00711A73">
        <w:t>perturbation du rythme circadie</w:t>
      </w:r>
      <w:r w:rsidR="00711A73">
        <w:t>n),</w:t>
      </w:r>
    </w:p>
    <w:p w14:paraId="4DC85A4A" w14:textId="77777777" w:rsidR="00D61179" w:rsidRDefault="00D61179" w:rsidP="001A4586">
      <w:pPr>
        <w:jc w:val="both"/>
      </w:pPr>
      <w:r>
        <w:t xml:space="preserve">• l’éclairage public sécurise les déplacements, </w:t>
      </w:r>
    </w:p>
    <w:p w14:paraId="1A3C9D08" w14:textId="77777777" w:rsidR="00D61179" w:rsidRDefault="00D61179" w:rsidP="001A4586">
      <w:pPr>
        <w:jc w:val="both"/>
      </w:pPr>
      <w:r>
        <w:t xml:space="preserve">• le ciel nocturne est un bien commun, il convient de préserver la capacité des générations futures à pouvoir l’observer. </w:t>
      </w:r>
    </w:p>
    <w:p w14:paraId="2260EEB6" w14:textId="77777777" w:rsidR="00D61179" w:rsidRDefault="00D61179" w:rsidP="001A4586">
      <w:pPr>
        <w:jc w:val="both"/>
      </w:pPr>
      <w:r>
        <w:t>La charte a pour but de rechercher à</w:t>
      </w:r>
      <w:r w:rsidR="00E41580">
        <w:t xml:space="preserve"> </w:t>
      </w:r>
      <w:r>
        <w:t xml:space="preserve">« éclairer juste, propre et durable » en appliquant les principes suivants : </w:t>
      </w:r>
    </w:p>
    <w:p w14:paraId="7BB2756F" w14:textId="77777777" w:rsidR="007E37CB" w:rsidRDefault="00766175">
      <w:r>
        <w:t xml:space="preserve">La signature de la charte engage les signataires </w:t>
      </w:r>
      <w:r w:rsidR="00D719AC">
        <w:t xml:space="preserve">à : </w:t>
      </w:r>
    </w:p>
    <w:p w14:paraId="085021CF" w14:textId="77777777" w:rsidR="001D0FA5" w:rsidRPr="004C1C3D" w:rsidRDefault="00D719AC" w:rsidP="004C1C3D">
      <w:pPr>
        <w:pStyle w:val="Paragraphedeliste"/>
        <w:numPr>
          <w:ilvl w:val="0"/>
          <w:numId w:val="1"/>
        </w:numPr>
        <w:rPr>
          <w:b/>
        </w:rPr>
      </w:pPr>
      <w:r w:rsidRPr="004C1C3D">
        <w:rPr>
          <w:b/>
        </w:rPr>
        <w:t xml:space="preserve">Réfléchir avant tout projet à la nécessité d’éclairer </w:t>
      </w:r>
    </w:p>
    <w:p w14:paraId="052DA6B1" w14:textId="77777777" w:rsidR="00D719AC" w:rsidRPr="001D0FA5" w:rsidRDefault="00D719AC" w:rsidP="001A4586">
      <w:pPr>
        <w:jc w:val="both"/>
      </w:pPr>
      <w:r w:rsidRPr="001D0FA5">
        <w:t xml:space="preserve">Il convient de s’interroger sur la nécessité d’éclairer en amont de tout projet public ou privé. </w:t>
      </w:r>
    </w:p>
    <w:p w14:paraId="43609963" w14:textId="116671E7" w:rsidR="004C1C3D" w:rsidRDefault="00D719AC" w:rsidP="001A4586">
      <w:pPr>
        <w:jc w:val="both"/>
      </w:pPr>
      <w:r>
        <w:t>Le besoin d’éclairer peut</w:t>
      </w:r>
      <w:r w:rsidR="000D000F">
        <w:t>-</w:t>
      </w:r>
      <w:r>
        <w:t xml:space="preserve">être </w:t>
      </w:r>
      <w:proofErr w:type="gramStart"/>
      <w:r>
        <w:t>déterminé</w:t>
      </w:r>
      <w:proofErr w:type="gramEnd"/>
      <w:r>
        <w:t xml:space="preserve"> à partir de données sur la sécurité routière, la sécurité des personnes, les nuisances au voisinage ou encore à l’environnement.</w:t>
      </w:r>
    </w:p>
    <w:p w14:paraId="6BE93092" w14:textId="77777777" w:rsidR="00D719AC" w:rsidRDefault="00D719AC" w:rsidP="001A4586">
      <w:pPr>
        <w:jc w:val="both"/>
      </w:pPr>
      <w:r>
        <w:t xml:space="preserve">Lorsqu’il est décidé d’éclairer, il convient de préciser les plages </w:t>
      </w:r>
      <w:r w:rsidRPr="00F11A83">
        <w:t>horaires</w:t>
      </w:r>
      <w:r w:rsidR="000B6D77" w:rsidRPr="00F11A83">
        <w:t xml:space="preserve"> (nécessité d’un arrêté communal)</w:t>
      </w:r>
      <w:r>
        <w:t xml:space="preserve"> et les niveaux d’éclairement au regard des besoins réels. </w:t>
      </w:r>
    </w:p>
    <w:p w14:paraId="6BF9476C" w14:textId="77777777" w:rsidR="00D719AC" w:rsidRDefault="00D719AC" w:rsidP="001A4586">
      <w:pPr>
        <w:jc w:val="both"/>
      </w:pPr>
      <w:r>
        <w:t xml:space="preserve">L’extinction de l’éclairage public en cours de nuit doit être envisagée quand la sécurité n’est pas mise en cause afin de réduire l’impact environnemental, les consommations électriques de la commune et les dépenses publiques associées. </w:t>
      </w:r>
    </w:p>
    <w:p w14:paraId="5535FA23" w14:textId="77777777" w:rsidR="001D0FA5" w:rsidRPr="004C1C3D" w:rsidRDefault="00D719AC" w:rsidP="004C1C3D">
      <w:pPr>
        <w:pStyle w:val="Paragraphedeliste"/>
        <w:numPr>
          <w:ilvl w:val="0"/>
          <w:numId w:val="1"/>
        </w:numPr>
        <w:rPr>
          <w:b/>
          <w:color w:val="000000" w:themeColor="text1"/>
        </w:rPr>
      </w:pPr>
      <w:r w:rsidRPr="004C1C3D">
        <w:rPr>
          <w:b/>
          <w:color w:val="000000" w:themeColor="text1"/>
        </w:rPr>
        <w:t>Adopter une gestion différenciée de l'éclairage public existant par type d'espace</w:t>
      </w:r>
    </w:p>
    <w:p w14:paraId="12C9ECF4" w14:textId="77777777" w:rsidR="00D719AC" w:rsidRPr="001D0FA5" w:rsidRDefault="00D719AC" w:rsidP="001A4586">
      <w:pPr>
        <w:jc w:val="both"/>
        <w:rPr>
          <w:color w:val="000000" w:themeColor="text1"/>
        </w:rPr>
      </w:pPr>
      <w:r w:rsidRPr="001D0FA5">
        <w:rPr>
          <w:color w:val="000000" w:themeColor="text1"/>
        </w:rPr>
        <w:t>Eclairer un secteur nécessite de se poser la question de l’usage des lieux</w:t>
      </w:r>
      <w:r w:rsidR="004C1C3D">
        <w:rPr>
          <w:color w:val="000000" w:themeColor="text1"/>
        </w:rPr>
        <w:t xml:space="preserve"> et de l’impact </w:t>
      </w:r>
      <w:r w:rsidR="00135D7E">
        <w:rPr>
          <w:color w:val="000000" w:themeColor="text1"/>
        </w:rPr>
        <w:t>écologique.</w:t>
      </w:r>
    </w:p>
    <w:p w14:paraId="6794171E" w14:textId="77777777" w:rsidR="00D719AC" w:rsidRPr="00766175" w:rsidRDefault="00D719AC" w:rsidP="00766175">
      <w:pPr>
        <w:pStyle w:val="Paragraphedeliste"/>
        <w:numPr>
          <w:ilvl w:val="0"/>
          <w:numId w:val="1"/>
        </w:numPr>
        <w:rPr>
          <w:b/>
        </w:rPr>
      </w:pPr>
      <w:r w:rsidRPr="00766175">
        <w:rPr>
          <w:b/>
        </w:rPr>
        <w:t xml:space="preserve">Adopter des pratiques respectueuses de l’environnement </w:t>
      </w:r>
    </w:p>
    <w:p w14:paraId="3747C8DE" w14:textId="77777777" w:rsidR="004C1C3D" w:rsidRDefault="00D719AC" w:rsidP="001A4586">
      <w:pPr>
        <w:jc w:val="both"/>
      </w:pPr>
      <w:r>
        <w:t xml:space="preserve">Pour l'éclairage public, il convient de mettre en place des actions limitant les impacts négatifs à la fois sur l'éclairage du ciel nocturne, la faune et la flore, et la consommation d'énergie. </w:t>
      </w:r>
    </w:p>
    <w:p w14:paraId="57F1C6DC" w14:textId="77777777" w:rsidR="00D719AC" w:rsidRDefault="00D719AC" w:rsidP="001A4586">
      <w:pPr>
        <w:jc w:val="both"/>
      </w:pPr>
      <w:r>
        <w:t xml:space="preserve">L’analyse du cycle de vie des </w:t>
      </w:r>
      <w:r w:rsidR="004C1C3D">
        <w:t>ouvrages</w:t>
      </w:r>
      <w:r>
        <w:t xml:space="preserve"> et leur recyclabilité seront aussi des critères de sélection. </w:t>
      </w:r>
    </w:p>
    <w:p w14:paraId="7166DA6F" w14:textId="77777777" w:rsidR="007E37CB" w:rsidRPr="00766175" w:rsidRDefault="00D719AC" w:rsidP="00766175">
      <w:pPr>
        <w:pStyle w:val="Paragraphedeliste"/>
        <w:numPr>
          <w:ilvl w:val="0"/>
          <w:numId w:val="1"/>
        </w:numPr>
        <w:rPr>
          <w:b/>
        </w:rPr>
      </w:pPr>
      <w:r w:rsidRPr="00766175">
        <w:rPr>
          <w:b/>
        </w:rPr>
        <w:t xml:space="preserve">Maîtriser le budget alloué à l'éclairage public </w:t>
      </w:r>
    </w:p>
    <w:p w14:paraId="11D6BF7A" w14:textId="77777777" w:rsidR="004C1C3D" w:rsidRDefault="00D719AC" w:rsidP="001A4586">
      <w:pPr>
        <w:jc w:val="both"/>
      </w:pPr>
      <w:r>
        <w:t xml:space="preserve">Adopter une gestion responsable, plus efficiente dans la gestion des investissements et du coût de fonctionnement de l’éclairage public permet de participer à la maîtrise des budgets des collectivités. Un </w:t>
      </w:r>
      <w:r w:rsidR="007E37CB">
        <w:t xml:space="preserve">accompagnement </w:t>
      </w:r>
      <w:r>
        <w:t xml:space="preserve">global de maîtrise de l’énergie, accompagné d’un suivi des consommations, sera mis en place. </w:t>
      </w:r>
    </w:p>
    <w:p w14:paraId="767C5534" w14:textId="5F4750A9" w:rsidR="007E37CB" w:rsidRDefault="009130D7" w:rsidP="00B50046">
      <w:pPr>
        <w:rPr>
          <w:b/>
          <w:sz w:val="40"/>
          <w:szCs w:val="40"/>
        </w:rPr>
      </w:pPr>
      <w:r w:rsidRPr="004278BC">
        <w:rPr>
          <w:b/>
          <w:sz w:val="40"/>
          <w:szCs w:val="40"/>
        </w:rPr>
        <w:t>Quelles sont les act</w:t>
      </w:r>
      <w:r w:rsidR="004278BC">
        <w:rPr>
          <w:b/>
          <w:sz w:val="40"/>
          <w:szCs w:val="40"/>
        </w:rPr>
        <w:t>i</w:t>
      </w:r>
      <w:r w:rsidRPr="004278BC">
        <w:rPr>
          <w:b/>
          <w:sz w:val="40"/>
          <w:szCs w:val="40"/>
        </w:rPr>
        <w:t>ons</w:t>
      </w:r>
      <w:r w:rsidR="004278BC">
        <w:rPr>
          <w:b/>
          <w:sz w:val="40"/>
          <w:szCs w:val="40"/>
        </w:rPr>
        <w:t xml:space="preserve"> concrètes à mettre en </w:t>
      </w:r>
      <w:r w:rsidR="008D2AD5">
        <w:rPr>
          <w:b/>
          <w:sz w:val="40"/>
          <w:szCs w:val="40"/>
        </w:rPr>
        <w:t>œuvre</w:t>
      </w:r>
      <w:r w:rsidR="008D2AD5" w:rsidRPr="004278BC">
        <w:rPr>
          <w:b/>
          <w:sz w:val="40"/>
          <w:szCs w:val="40"/>
        </w:rPr>
        <w:t xml:space="preserve"> ?</w:t>
      </w:r>
    </w:p>
    <w:p w14:paraId="1ADD9A56" w14:textId="77777777" w:rsidR="00A12006" w:rsidRDefault="00A12006" w:rsidP="001A4586">
      <w:pPr>
        <w:jc w:val="both"/>
      </w:pPr>
      <w:r>
        <w:t xml:space="preserve">La Loi relative à la transition énergétique pour la croissance verte précise que les nouvelles installations d’éclairage public, sous maîtrise d’ouvrage des collectivités territoriales, font désormais preuve d’exemplarité énergétique et environnementale. (Loi n° 2015-992 du 17 août 2015). </w:t>
      </w:r>
    </w:p>
    <w:p w14:paraId="4276A531" w14:textId="77777777" w:rsidR="00A12006" w:rsidRDefault="00A12006" w:rsidP="001A4586">
      <w:pPr>
        <w:jc w:val="both"/>
      </w:pPr>
      <w:r w:rsidRPr="004E1B13">
        <w:t>Les deux arrêtés du 27 décembre 2018 apportent des avancées notables pour la protection du ciel nocturne et de la biodiversité sur de nombreux points : horaires d’allumage et d’extinction, proportion de lumière, limita</w:t>
      </w:r>
      <w:r w:rsidR="00D317B6">
        <w:t>tion des températures de couleur.</w:t>
      </w:r>
    </w:p>
    <w:p w14:paraId="5CAC1B5F" w14:textId="77777777" w:rsidR="00D317B6" w:rsidRDefault="00D317B6" w:rsidP="001A4586">
      <w:pPr>
        <w:jc w:val="both"/>
      </w:pPr>
      <w:r>
        <w:t xml:space="preserve">La charte </w:t>
      </w:r>
      <w:r w:rsidR="006E1B26">
        <w:t>propose de mettre en œuvre les</w:t>
      </w:r>
      <w:r w:rsidR="00E41580">
        <w:t xml:space="preserve"> </w:t>
      </w:r>
      <w:r>
        <w:t>actions</w:t>
      </w:r>
      <w:r w:rsidR="00E41580">
        <w:t xml:space="preserve"> </w:t>
      </w:r>
      <w:r w:rsidR="006E1B26">
        <w:t>suivantes</w:t>
      </w:r>
    </w:p>
    <w:p w14:paraId="51A2EBCB" w14:textId="77777777" w:rsidR="008B183A" w:rsidRPr="00397D25" w:rsidRDefault="004278BC" w:rsidP="001A4586">
      <w:pPr>
        <w:pStyle w:val="Paragraphedeliste"/>
        <w:numPr>
          <w:ilvl w:val="0"/>
          <w:numId w:val="1"/>
        </w:numPr>
        <w:jc w:val="both"/>
        <w:rPr>
          <w:b/>
        </w:rPr>
      </w:pPr>
      <w:r>
        <w:rPr>
          <w:b/>
        </w:rPr>
        <w:t>Connaître son réseau et l</w:t>
      </w:r>
      <w:r w:rsidR="00D719AC" w:rsidRPr="00397D25">
        <w:rPr>
          <w:b/>
        </w:rPr>
        <w:t>es équipements</w:t>
      </w:r>
      <w:r>
        <w:rPr>
          <w:b/>
        </w:rPr>
        <w:t xml:space="preserve"> existants</w:t>
      </w:r>
    </w:p>
    <w:p w14:paraId="723CB43E" w14:textId="77777777" w:rsidR="008B183A" w:rsidRDefault="00D719AC" w:rsidP="001A4586">
      <w:pPr>
        <w:jc w:val="both"/>
      </w:pPr>
      <w:r>
        <w:t xml:space="preserve"> Afin de mieux gérer l’éclairage public, il est recommandé de commencer par son recensement, puis l’évaluation de la qualité des réseaux et équipements existants.</w:t>
      </w:r>
    </w:p>
    <w:p w14:paraId="1DDBA523" w14:textId="77C2A0E6" w:rsidR="008B183A" w:rsidRDefault="008B183A" w:rsidP="001A4586">
      <w:pPr>
        <w:jc w:val="both"/>
      </w:pPr>
      <w:r>
        <w:t>Le</w:t>
      </w:r>
      <w:r w:rsidR="000B6D77">
        <w:t xml:space="preserve"> SDE</w:t>
      </w:r>
      <w:r>
        <w:t>22</w:t>
      </w:r>
      <w:r w:rsidR="00D719AC">
        <w:t xml:space="preserve"> </w:t>
      </w:r>
      <w:r>
        <w:t xml:space="preserve">et </w:t>
      </w:r>
      <w:r w:rsidR="004F4ADF" w:rsidRPr="00512B56">
        <w:rPr>
          <w:highlight w:val="yellow"/>
        </w:rPr>
        <w:t>Dénomination de l’EPCI</w:t>
      </w:r>
      <w:r w:rsidR="004F4ADF">
        <w:t xml:space="preserve"> </w:t>
      </w:r>
      <w:r w:rsidR="00D719AC">
        <w:t>peuvent accompagner les communes dans l’</w:t>
      </w:r>
      <w:r w:rsidR="004278BC">
        <w:t>établissement de ce diagnostic et l’établissement de préconisations.</w:t>
      </w:r>
    </w:p>
    <w:p w14:paraId="0E5AF7E0" w14:textId="77777777" w:rsidR="008B183A" w:rsidRDefault="00537180" w:rsidP="00397D25">
      <w:pPr>
        <w:pStyle w:val="Paragraphedeliste"/>
        <w:numPr>
          <w:ilvl w:val="0"/>
          <w:numId w:val="1"/>
        </w:numPr>
        <w:rPr>
          <w:b/>
        </w:rPr>
      </w:pPr>
      <w:r>
        <w:rPr>
          <w:b/>
        </w:rPr>
        <w:t>Adapter</w:t>
      </w:r>
      <w:r w:rsidR="00E41580">
        <w:rPr>
          <w:b/>
        </w:rPr>
        <w:t xml:space="preserve"> </w:t>
      </w:r>
      <w:r w:rsidR="00D719AC" w:rsidRPr="00397D25">
        <w:rPr>
          <w:b/>
        </w:rPr>
        <w:t>le parc</w:t>
      </w:r>
      <w:r w:rsidR="006E1B26">
        <w:rPr>
          <w:b/>
        </w:rPr>
        <w:t xml:space="preserve"> d’éclairage </w:t>
      </w:r>
      <w:r w:rsidR="00D719AC" w:rsidRPr="00397D25">
        <w:rPr>
          <w:b/>
        </w:rPr>
        <w:t xml:space="preserve">existant </w:t>
      </w:r>
    </w:p>
    <w:p w14:paraId="52E3FCC7" w14:textId="77777777" w:rsidR="00537180" w:rsidRPr="00537180" w:rsidRDefault="00537180" w:rsidP="001A4586">
      <w:pPr>
        <w:jc w:val="both"/>
      </w:pPr>
      <w:r w:rsidRPr="00537180">
        <w:t xml:space="preserve">Le croisement des données relatives à la biodiversité </w:t>
      </w:r>
      <w:r w:rsidR="00711A73">
        <w:t xml:space="preserve">(espèces, Trame Verte et Bleue, zonages réglementaires) </w:t>
      </w:r>
      <w:r w:rsidR="00711A73" w:rsidRPr="00537180">
        <w:t>permet</w:t>
      </w:r>
      <w:r w:rsidRPr="00537180">
        <w:t xml:space="preserve"> de disposer de cartographies et de</w:t>
      </w:r>
      <w:r w:rsidR="00E41580">
        <w:t xml:space="preserve"> </w:t>
      </w:r>
      <w:r w:rsidRPr="00537180">
        <w:t>zonages exploitables pour mieux adapter l</w:t>
      </w:r>
      <w:r>
        <w:t>e</w:t>
      </w:r>
      <w:r w:rsidRPr="00537180">
        <w:t xml:space="preserve"> parc d’éclairage public</w:t>
      </w:r>
      <w:r w:rsidR="00E41580">
        <w:t xml:space="preserve"> </w:t>
      </w:r>
      <w:r w:rsidRPr="00537180">
        <w:t>existant à la vie nocturne et à la diminution des nuisances.</w:t>
      </w:r>
    </w:p>
    <w:p w14:paraId="0F65452C" w14:textId="77777777" w:rsidR="00537180" w:rsidRDefault="00537180" w:rsidP="001A4586">
      <w:pPr>
        <w:jc w:val="both"/>
      </w:pPr>
      <w:r>
        <w:t xml:space="preserve">Les actions suivantes seront privilégiées en zones sensibles : </w:t>
      </w:r>
    </w:p>
    <w:p w14:paraId="3B1B6B85" w14:textId="521F5781" w:rsidR="00A12006" w:rsidRDefault="00A12006" w:rsidP="001A4586">
      <w:pPr>
        <w:pStyle w:val="Paragraphedeliste"/>
        <w:numPr>
          <w:ilvl w:val="0"/>
          <w:numId w:val="11"/>
        </w:numPr>
        <w:jc w:val="both"/>
      </w:pPr>
      <w:proofErr w:type="gramStart"/>
      <w:r>
        <w:t>l’évaluation</w:t>
      </w:r>
      <w:r w:rsidR="00512B56">
        <w:t xml:space="preserve">  </w:t>
      </w:r>
      <w:r>
        <w:t>de</w:t>
      </w:r>
      <w:proofErr w:type="gramEnd"/>
      <w:r>
        <w:t xml:space="preserve"> la pollution lumineuse</w:t>
      </w:r>
      <w:r w:rsidR="00E41580">
        <w:t xml:space="preserve"> </w:t>
      </w:r>
      <w:r>
        <w:t xml:space="preserve">existante </w:t>
      </w:r>
    </w:p>
    <w:p w14:paraId="25F8B28C" w14:textId="77777777" w:rsidR="00537180" w:rsidRDefault="00A12006" w:rsidP="001A4586">
      <w:pPr>
        <w:pStyle w:val="Paragraphedeliste"/>
        <w:numPr>
          <w:ilvl w:val="0"/>
          <w:numId w:val="11"/>
        </w:numPr>
        <w:jc w:val="both"/>
      </w:pPr>
      <w:proofErr w:type="gramStart"/>
      <w:r>
        <w:t>la</w:t>
      </w:r>
      <w:proofErr w:type="gramEnd"/>
      <w:r>
        <w:t xml:space="preserve"> cohérence</w:t>
      </w:r>
      <w:r w:rsidR="00E41580">
        <w:t xml:space="preserve"> </w:t>
      </w:r>
      <w:r>
        <w:t>et l’adéquation</w:t>
      </w:r>
      <w:r w:rsidR="00E41580">
        <w:t xml:space="preserve"> </w:t>
      </w:r>
      <w:r>
        <w:t>de l</w:t>
      </w:r>
      <w:r w:rsidR="00537180">
        <w:t>’éclairage</w:t>
      </w:r>
      <w:r w:rsidR="00E41580">
        <w:t xml:space="preserve"> </w:t>
      </w:r>
      <w:r>
        <w:t xml:space="preserve">en place </w:t>
      </w:r>
      <w:r w:rsidR="00537180">
        <w:t xml:space="preserve">dans ces zones </w:t>
      </w:r>
    </w:p>
    <w:p w14:paraId="50E6678B" w14:textId="77777777" w:rsidR="00A12006" w:rsidRDefault="00272D58" w:rsidP="001A4586">
      <w:pPr>
        <w:pStyle w:val="Paragraphedeliste"/>
        <w:numPr>
          <w:ilvl w:val="0"/>
          <w:numId w:val="11"/>
        </w:numPr>
        <w:jc w:val="both"/>
      </w:pPr>
      <w:proofErr w:type="gramStart"/>
      <w:r>
        <w:t>la</w:t>
      </w:r>
      <w:proofErr w:type="gramEnd"/>
      <w:r>
        <w:t xml:space="preserve"> possibilité </w:t>
      </w:r>
      <w:r w:rsidR="00A12006">
        <w:t>d’extinction</w:t>
      </w:r>
      <w:r>
        <w:t xml:space="preserve"> partielle</w:t>
      </w:r>
      <w:r w:rsidR="00E41580">
        <w:t xml:space="preserve"> </w:t>
      </w:r>
      <w:r w:rsidR="00A12006">
        <w:t xml:space="preserve">ou de suppression </w:t>
      </w:r>
      <w:r>
        <w:t>totale</w:t>
      </w:r>
    </w:p>
    <w:p w14:paraId="321F32A9" w14:textId="77777777" w:rsidR="00537180" w:rsidRDefault="00537180" w:rsidP="001A4586">
      <w:pPr>
        <w:pStyle w:val="Paragraphedeliste"/>
        <w:ind w:left="1429"/>
        <w:jc w:val="both"/>
      </w:pPr>
    </w:p>
    <w:p w14:paraId="71E75E33" w14:textId="77777777" w:rsidR="00537180" w:rsidRDefault="00537180" w:rsidP="00537180">
      <w:pPr>
        <w:pStyle w:val="Paragraphedeliste"/>
        <w:rPr>
          <w:b/>
        </w:rPr>
      </w:pPr>
    </w:p>
    <w:p w14:paraId="5415BE71" w14:textId="77777777" w:rsidR="00537180" w:rsidRDefault="00537180" w:rsidP="00537180">
      <w:pPr>
        <w:pStyle w:val="Paragraphedeliste"/>
        <w:numPr>
          <w:ilvl w:val="0"/>
          <w:numId w:val="1"/>
        </w:numPr>
        <w:rPr>
          <w:b/>
        </w:rPr>
      </w:pPr>
      <w:r>
        <w:rPr>
          <w:b/>
        </w:rPr>
        <w:t>Rénover</w:t>
      </w:r>
      <w:r w:rsidR="00E41580">
        <w:rPr>
          <w:b/>
        </w:rPr>
        <w:t xml:space="preserve"> </w:t>
      </w:r>
      <w:r w:rsidR="006E1B26">
        <w:rPr>
          <w:b/>
        </w:rPr>
        <w:t>les ouvrages</w:t>
      </w:r>
      <w:r w:rsidR="00E41580">
        <w:rPr>
          <w:b/>
        </w:rPr>
        <w:t xml:space="preserve"> </w:t>
      </w:r>
      <w:r w:rsidR="00D844A6">
        <w:rPr>
          <w:b/>
        </w:rPr>
        <w:t>existants</w:t>
      </w:r>
    </w:p>
    <w:p w14:paraId="6137CEE3" w14:textId="77777777" w:rsidR="008B183A" w:rsidRDefault="00D719AC" w:rsidP="001A4586">
      <w:pPr>
        <w:jc w:val="both"/>
      </w:pPr>
      <w:r>
        <w:t xml:space="preserve">Dans la limite des possibilités techniques et financières, les projets de rénovation devront prendre en compte les ambitions de la charte. </w:t>
      </w:r>
    </w:p>
    <w:p w14:paraId="3508D280" w14:textId="77777777" w:rsidR="008B183A" w:rsidRDefault="00D719AC" w:rsidP="001A4586">
      <w:pPr>
        <w:jc w:val="both"/>
      </w:pPr>
      <w:r>
        <w:t xml:space="preserve">Les actions suivantes seront privilégiées : </w:t>
      </w:r>
    </w:p>
    <w:p w14:paraId="2E8051E4" w14:textId="77777777" w:rsidR="008B183A" w:rsidRDefault="00D719AC" w:rsidP="001A4586">
      <w:pPr>
        <w:pStyle w:val="Paragraphedeliste"/>
        <w:numPr>
          <w:ilvl w:val="0"/>
          <w:numId w:val="11"/>
        </w:numPr>
        <w:jc w:val="both"/>
      </w:pPr>
      <w:proofErr w:type="gramStart"/>
      <w:r>
        <w:t>la</w:t>
      </w:r>
      <w:proofErr w:type="gramEnd"/>
      <w:r>
        <w:t xml:space="preserve"> maîtrise de la durée de fonctionnement </w:t>
      </w:r>
    </w:p>
    <w:p w14:paraId="0BD2660F" w14:textId="77777777" w:rsidR="008B183A" w:rsidRDefault="00D719AC" w:rsidP="001A4586">
      <w:pPr>
        <w:pStyle w:val="Paragraphedeliste"/>
        <w:numPr>
          <w:ilvl w:val="0"/>
          <w:numId w:val="11"/>
        </w:numPr>
        <w:jc w:val="both"/>
      </w:pPr>
      <w:proofErr w:type="gramStart"/>
      <w:r>
        <w:t>la</w:t>
      </w:r>
      <w:proofErr w:type="gramEnd"/>
      <w:r>
        <w:t xml:space="preserve"> mise en œuvre de matériel de qualité</w:t>
      </w:r>
      <w:r w:rsidR="00E41580">
        <w:t xml:space="preserve"> </w:t>
      </w:r>
      <w:r w:rsidR="00537180">
        <w:t xml:space="preserve">et adapté </w:t>
      </w:r>
      <w:r w:rsidR="00A12006">
        <w:t>à l’environnement</w:t>
      </w:r>
      <w:r>
        <w:t xml:space="preserve"> </w:t>
      </w:r>
    </w:p>
    <w:p w14:paraId="21A1F2D7" w14:textId="77777777" w:rsidR="008B183A" w:rsidRDefault="00D719AC" w:rsidP="001A4586">
      <w:pPr>
        <w:pStyle w:val="Paragraphedeliste"/>
        <w:numPr>
          <w:ilvl w:val="0"/>
          <w:numId w:val="11"/>
        </w:numPr>
        <w:jc w:val="both"/>
      </w:pPr>
      <w:proofErr w:type="gramStart"/>
      <w:r>
        <w:t>la</w:t>
      </w:r>
      <w:proofErr w:type="gramEnd"/>
      <w:r>
        <w:t xml:space="preserve"> mise e</w:t>
      </w:r>
      <w:r w:rsidR="00397D25">
        <w:t>n place de système de gestion,</w:t>
      </w:r>
      <w:r>
        <w:t xml:space="preserve"> de variation</w:t>
      </w:r>
      <w:r w:rsidR="00397D25">
        <w:t>, de détection</w:t>
      </w:r>
      <w:r>
        <w:t xml:space="preserve">. </w:t>
      </w:r>
    </w:p>
    <w:p w14:paraId="5CEDEE15" w14:textId="77777777" w:rsidR="00537180" w:rsidRDefault="00537180" w:rsidP="001A4586">
      <w:pPr>
        <w:pStyle w:val="Paragraphedeliste"/>
        <w:ind w:left="1429"/>
        <w:jc w:val="both"/>
      </w:pPr>
    </w:p>
    <w:p w14:paraId="2ED37C83" w14:textId="77777777" w:rsidR="008B183A" w:rsidRPr="00397D25" w:rsidRDefault="00D719AC" w:rsidP="001A4586">
      <w:pPr>
        <w:pStyle w:val="Paragraphedeliste"/>
        <w:numPr>
          <w:ilvl w:val="0"/>
          <w:numId w:val="1"/>
        </w:numPr>
        <w:jc w:val="both"/>
        <w:rPr>
          <w:b/>
        </w:rPr>
      </w:pPr>
      <w:r w:rsidRPr="00397D25">
        <w:rPr>
          <w:b/>
        </w:rPr>
        <w:t xml:space="preserve">Élaborer de nouveaux projets d’éclairage public </w:t>
      </w:r>
    </w:p>
    <w:p w14:paraId="025C821D" w14:textId="77777777" w:rsidR="006E1B26" w:rsidRDefault="00D719AC" w:rsidP="001A4586">
      <w:pPr>
        <w:jc w:val="both"/>
      </w:pPr>
      <w:r>
        <w:t>Le</w:t>
      </w:r>
      <w:r w:rsidR="00E41580">
        <w:t xml:space="preserve"> </w:t>
      </w:r>
      <w:r w:rsidR="000B6D77">
        <w:t>SDE22</w:t>
      </w:r>
      <w:r>
        <w:t xml:space="preserve"> accompagne</w:t>
      </w:r>
      <w:r w:rsidR="006E1B26">
        <w:t>ra</w:t>
      </w:r>
      <w:r w:rsidR="00E41580">
        <w:t xml:space="preserve"> </w:t>
      </w:r>
      <w:r>
        <w:t>les communes dans la définition et le financement des nouveaux projets.</w:t>
      </w:r>
    </w:p>
    <w:p w14:paraId="31F841D1" w14:textId="77777777" w:rsidR="006E1B26" w:rsidRDefault="006E1B26" w:rsidP="001A4586">
      <w:pPr>
        <w:jc w:val="both"/>
      </w:pPr>
      <w:r>
        <w:t>Les projets d’éclairage public</w:t>
      </w:r>
      <w:r w:rsidR="00E41580">
        <w:t xml:space="preserve"> </w:t>
      </w:r>
      <w:r>
        <w:t xml:space="preserve">seront </w:t>
      </w:r>
      <w:r w:rsidR="00135D7E">
        <w:t>élaborés</w:t>
      </w:r>
      <w:r>
        <w:t xml:space="preserve"> par le </w:t>
      </w:r>
      <w:r w:rsidR="000B6D77">
        <w:t>SDE22</w:t>
      </w:r>
      <w:r w:rsidR="00E41580">
        <w:t xml:space="preserve"> </w:t>
      </w:r>
      <w:r>
        <w:t>en cohérence avec la charte</w:t>
      </w:r>
      <w:r w:rsidR="00E41580">
        <w:t xml:space="preserve"> </w:t>
      </w:r>
      <w:r>
        <w:t>et seront</w:t>
      </w:r>
      <w:r w:rsidR="00E41580">
        <w:t xml:space="preserve"> </w:t>
      </w:r>
      <w:r>
        <w:t>proposés aux collectivités signataires</w:t>
      </w:r>
    </w:p>
    <w:p w14:paraId="1C01BA02" w14:textId="77777777" w:rsidR="006E1B26" w:rsidRDefault="006E1B26" w:rsidP="001A4586">
      <w:pPr>
        <w:jc w:val="both"/>
      </w:pPr>
      <w:r>
        <w:t xml:space="preserve">La nature des projets portés par le </w:t>
      </w:r>
      <w:r w:rsidR="000B6D77">
        <w:t>SDE22</w:t>
      </w:r>
      <w:r w:rsidR="00E41580">
        <w:t xml:space="preserve"> </w:t>
      </w:r>
      <w:r>
        <w:t>concerner</w:t>
      </w:r>
      <w:r w:rsidR="00F11A83">
        <w:t>a</w:t>
      </w:r>
      <w:r>
        <w:t xml:space="preserve"> notamment</w:t>
      </w:r>
      <w:r w:rsidR="00F11A83">
        <w:t xml:space="preserve"> sur</w:t>
      </w:r>
      <w:r w:rsidR="00E41580">
        <w:t xml:space="preserve"> </w:t>
      </w:r>
      <w:r>
        <w:t xml:space="preserve">: </w:t>
      </w:r>
    </w:p>
    <w:p w14:paraId="0949A95C" w14:textId="77777777" w:rsidR="006E1B26" w:rsidRDefault="00F11A83" w:rsidP="001A4586">
      <w:pPr>
        <w:pStyle w:val="Paragraphedeliste"/>
        <w:numPr>
          <w:ilvl w:val="0"/>
          <w:numId w:val="13"/>
        </w:numPr>
        <w:jc w:val="both"/>
      </w:pPr>
      <w:proofErr w:type="gramStart"/>
      <w:r>
        <w:t>l</w:t>
      </w:r>
      <w:r w:rsidR="006E1B26">
        <w:t>’extension</w:t>
      </w:r>
      <w:proofErr w:type="gramEnd"/>
      <w:r w:rsidR="006E1B26">
        <w:t xml:space="preserve"> de réseaux</w:t>
      </w:r>
    </w:p>
    <w:p w14:paraId="69F2DE99" w14:textId="77777777" w:rsidR="006E1B26" w:rsidRDefault="00F11A83" w:rsidP="001A4586">
      <w:pPr>
        <w:pStyle w:val="Paragraphedeliste"/>
        <w:numPr>
          <w:ilvl w:val="0"/>
          <w:numId w:val="13"/>
        </w:numPr>
        <w:jc w:val="both"/>
      </w:pPr>
      <w:proofErr w:type="gramStart"/>
      <w:r>
        <w:t>l</w:t>
      </w:r>
      <w:r w:rsidR="006E1B26">
        <w:t>e</w:t>
      </w:r>
      <w:proofErr w:type="gramEnd"/>
      <w:r w:rsidR="006E1B26">
        <w:t xml:space="preserve"> renforcement de réseaux</w:t>
      </w:r>
    </w:p>
    <w:p w14:paraId="25528BEB" w14:textId="77777777" w:rsidR="006E1B26" w:rsidRDefault="00F11A83" w:rsidP="001A4586">
      <w:pPr>
        <w:pStyle w:val="Paragraphedeliste"/>
        <w:numPr>
          <w:ilvl w:val="0"/>
          <w:numId w:val="13"/>
        </w:numPr>
        <w:jc w:val="both"/>
      </w:pPr>
      <w:proofErr w:type="gramStart"/>
      <w:r>
        <w:t>l</w:t>
      </w:r>
      <w:r w:rsidR="006E1B26">
        <w:t>e</w:t>
      </w:r>
      <w:proofErr w:type="gramEnd"/>
      <w:r w:rsidR="006E1B26">
        <w:t xml:space="preserve"> renouvellement de réseaux</w:t>
      </w:r>
    </w:p>
    <w:p w14:paraId="6ACE8545" w14:textId="77777777" w:rsidR="005B5BA5" w:rsidRDefault="00D719AC" w:rsidP="001A4586">
      <w:pPr>
        <w:jc w:val="both"/>
      </w:pPr>
      <w:r>
        <w:t xml:space="preserve">Les projets privés appliqueront aussi les principes de la charte, afin d’harmoniser l’éclairage public sur l’ensemble du territoire, mais également d’anticiper une éventuelle rétrocession d’un nouveau </w:t>
      </w:r>
      <w:r w:rsidR="005B5BA5">
        <w:t>quartier</w:t>
      </w:r>
    </w:p>
    <w:p w14:paraId="0FDB8C2D" w14:textId="77777777" w:rsidR="005B5BA5" w:rsidRDefault="00272D58" w:rsidP="001A4586">
      <w:pPr>
        <w:pStyle w:val="Paragraphedeliste"/>
        <w:numPr>
          <w:ilvl w:val="0"/>
          <w:numId w:val="12"/>
        </w:numPr>
        <w:ind w:left="1418" w:hanging="425"/>
        <w:jc w:val="both"/>
      </w:pPr>
      <w:r>
        <w:t>L</w:t>
      </w:r>
      <w:r w:rsidR="00D719AC">
        <w:t>a charte devra être annexée aux cahiers des</w:t>
      </w:r>
      <w:r>
        <w:t xml:space="preserve"> charges de cession de terrain et</w:t>
      </w:r>
      <w:r w:rsidR="00CB1B51">
        <w:t xml:space="preserve"> règlements de lotissements et faire référence.</w:t>
      </w:r>
    </w:p>
    <w:p w14:paraId="749D413C" w14:textId="77777777" w:rsidR="00272D58" w:rsidRDefault="00272D58" w:rsidP="00272D58">
      <w:pPr>
        <w:pStyle w:val="Paragraphedeliste"/>
        <w:ind w:left="1418"/>
      </w:pPr>
    </w:p>
    <w:p w14:paraId="4FDC7F0D" w14:textId="77777777" w:rsidR="005B5BA5" w:rsidRPr="00397D25" w:rsidRDefault="00D719AC" w:rsidP="00397D25">
      <w:pPr>
        <w:pStyle w:val="Paragraphedeliste"/>
        <w:numPr>
          <w:ilvl w:val="0"/>
          <w:numId w:val="1"/>
        </w:numPr>
        <w:rPr>
          <w:b/>
        </w:rPr>
      </w:pPr>
      <w:r w:rsidRPr="00397D25">
        <w:rPr>
          <w:b/>
        </w:rPr>
        <w:t xml:space="preserve">Communiquer, associer et sensibiliser </w:t>
      </w:r>
    </w:p>
    <w:p w14:paraId="5902F10F" w14:textId="77777777" w:rsidR="00784E02" w:rsidRDefault="00D719AC" w:rsidP="001A4586">
      <w:pPr>
        <w:jc w:val="both"/>
      </w:pPr>
      <w:r>
        <w:t xml:space="preserve">Il est nécessaire de mettre en place une démarche pédagogique auprès des citoyens sur l’éclairage public durable et de favoriser l’émergence de comportements </w:t>
      </w:r>
      <w:proofErr w:type="spellStart"/>
      <w:r>
        <w:t>éco-citoyens</w:t>
      </w:r>
      <w:proofErr w:type="spellEnd"/>
      <w:r>
        <w:t xml:space="preserve">. </w:t>
      </w:r>
    </w:p>
    <w:p w14:paraId="60E6B665" w14:textId="77777777" w:rsidR="0058212A" w:rsidRDefault="00D719AC" w:rsidP="001A4586">
      <w:pPr>
        <w:jc w:val="both"/>
      </w:pPr>
      <w:r>
        <w:t>La diffusion des bonnes pratiques d’éclairage et la valorisation de la politique environnementale de la commune y contribue. Si l’éclairage public n’est pas obligatoire, tout changement doit néanmoins faire l’objet d’une information auprès des administrés.</w:t>
      </w:r>
    </w:p>
    <w:p w14:paraId="0DF03AC1" w14:textId="2029D1FB" w:rsidR="0058212A" w:rsidRPr="00621AD1" w:rsidRDefault="00D719AC" w:rsidP="001A4586">
      <w:pPr>
        <w:jc w:val="both"/>
        <w:rPr>
          <w:strike/>
        </w:rPr>
      </w:pPr>
      <w:r>
        <w:t xml:space="preserve"> Il est donc recommandé </w:t>
      </w:r>
      <w:r w:rsidR="002A4ED4">
        <w:t>d’informer</w:t>
      </w:r>
      <w:r>
        <w:t xml:space="preserve"> les administrés, afin qu’ils aient une bonne compréhension de la démarche, qu’ils expriment leurs attentes</w:t>
      </w:r>
      <w:r w:rsidR="004F4ADF">
        <w:t>.</w:t>
      </w:r>
      <w:r w:rsidRPr="00621AD1">
        <w:rPr>
          <w:strike/>
        </w:rPr>
        <w:t xml:space="preserve"> </w:t>
      </w:r>
    </w:p>
    <w:p w14:paraId="540AAD78" w14:textId="39DF67EB" w:rsidR="0058212A" w:rsidRDefault="00D719AC" w:rsidP="001A4586">
      <w:pPr>
        <w:jc w:val="both"/>
      </w:pPr>
      <w:r>
        <w:t>Des partenaires</w:t>
      </w:r>
      <w:r w:rsidR="00197856">
        <w:t xml:space="preserve"> p</w:t>
      </w:r>
      <w:r w:rsidR="004F4ADF">
        <w:t xml:space="preserve">ublics </w:t>
      </w:r>
      <w:r w:rsidR="00197856">
        <w:t>et/</w:t>
      </w:r>
      <w:r w:rsidR="002A4ED4">
        <w:t>ou privés</w:t>
      </w:r>
      <w:r>
        <w:t xml:space="preserve"> </w:t>
      </w:r>
      <w:r w:rsidR="00C65E92">
        <w:t>peuvent</w:t>
      </w:r>
      <w:r w:rsidR="00E41580">
        <w:t xml:space="preserve"> </w:t>
      </w:r>
      <w:r>
        <w:t xml:space="preserve">être associés à cette démarche, afin de définir conjointement les zones dangereuses, de faciliter les interventions des services d’urgence, et d’associer les acteurs concernés. </w:t>
      </w:r>
    </w:p>
    <w:p w14:paraId="38ADA6A4" w14:textId="77777777" w:rsidR="0058212A" w:rsidRDefault="00D719AC" w:rsidP="001A4586">
      <w:pPr>
        <w:jc w:val="both"/>
      </w:pPr>
      <w:r>
        <w:t xml:space="preserve">Toutes les communes seront informées des événements en lien avec les enjeux de la maîtrise de l’éclairage public, comme le « Jour de la Nuit », ou le concours des « villes et villages étoilés ». </w:t>
      </w:r>
    </w:p>
    <w:p w14:paraId="78DEB771" w14:textId="4AA27F6F" w:rsidR="0058212A" w:rsidRDefault="0058212A" w:rsidP="001A4586">
      <w:pPr>
        <w:jc w:val="both"/>
      </w:pPr>
      <w:r>
        <w:t xml:space="preserve">Dans le cadre de </w:t>
      </w:r>
      <w:r w:rsidR="0054392A">
        <w:t>ce document</w:t>
      </w:r>
      <w:r>
        <w:t xml:space="preserve">, </w:t>
      </w:r>
      <w:r w:rsidR="00512B56" w:rsidRPr="00512B56">
        <w:rPr>
          <w:highlight w:val="yellow"/>
        </w:rPr>
        <w:t>Dénomination de l’EPCI</w:t>
      </w:r>
      <w:r w:rsidR="00512B56">
        <w:t> </w:t>
      </w:r>
      <w:r w:rsidR="00D719AC">
        <w:t>sera le relais des initiatives prises dans les communes à l’</w:t>
      </w:r>
      <w:r>
        <w:t xml:space="preserve">échelle de l’intercommunalité. </w:t>
      </w:r>
    </w:p>
    <w:p w14:paraId="13307066" w14:textId="77777777" w:rsidR="00784E02" w:rsidRDefault="00784E02" w:rsidP="00784E02">
      <w:pPr>
        <w:jc w:val="both"/>
      </w:pPr>
      <w:r>
        <w:t xml:space="preserve">La charte s’inscrit aussi dans les objectifs et les actions </w:t>
      </w:r>
      <w:r w:rsidR="000B6D77">
        <w:t>en matière</w:t>
      </w:r>
      <w:r>
        <w:t xml:space="preserve"> de sobriété énergétique</w:t>
      </w:r>
      <w:r w:rsidR="00080015">
        <w:t xml:space="preserve"> de </w:t>
      </w:r>
      <w:r>
        <w:t>:</w:t>
      </w:r>
    </w:p>
    <w:p w14:paraId="0359C1D1" w14:textId="77777777" w:rsidR="00784E02" w:rsidRPr="00F11A83" w:rsidRDefault="00784E02" w:rsidP="00F11A83">
      <w:pPr>
        <w:pStyle w:val="Paragraphedeliste"/>
        <w:numPr>
          <w:ilvl w:val="0"/>
          <w:numId w:val="12"/>
        </w:numPr>
        <w:spacing w:before="120"/>
        <w:ind w:left="283" w:hanging="357"/>
        <w:contextualSpacing w:val="0"/>
        <w:jc w:val="both"/>
      </w:pPr>
      <w:r w:rsidRPr="00F11A83">
        <w:t xml:space="preserve">La charte </w:t>
      </w:r>
      <w:proofErr w:type="spellStart"/>
      <w:r w:rsidRPr="00F11A83">
        <w:t>EcoWatt</w:t>
      </w:r>
      <w:proofErr w:type="spellEnd"/>
      <w:r w:rsidRPr="00F11A83">
        <w:t xml:space="preserve"> : </w:t>
      </w:r>
      <w:r w:rsidRPr="00F11A83">
        <w:rPr>
          <w:rStyle w:val="hgkelc"/>
          <w:rFonts w:cstheme="minorHAnsi"/>
        </w:rPr>
        <w:t>dispositif citoyen qui permet aux Français, entreprises et acteurs publics d’adopter une consommation d’énergie responsable et de contribuer ainsi à assurer le bon approvisionnement de tous en électricité</w:t>
      </w:r>
      <w:r w:rsidRPr="00F11A83">
        <w:t>.</w:t>
      </w:r>
    </w:p>
    <w:p w14:paraId="256D3164" w14:textId="77777777" w:rsidR="0058212A" w:rsidRDefault="00D719AC" w:rsidP="00F11A83">
      <w:pPr>
        <w:pStyle w:val="Paragraphedeliste"/>
        <w:ind w:left="0"/>
        <w:jc w:val="both"/>
      </w:pPr>
      <w:r>
        <w:t xml:space="preserve">Les communes intègreront les enjeux de l’éclairage public, de la maîtrise de l’énergie, des nuisances et des pollutions lumineuses, (y compris le phénomène de lumière intrusive), aux documents de planification comme le Projet d’aménagement (PADD) et de développement durable, du Plan </w:t>
      </w:r>
      <w:r w:rsidR="00492AC5">
        <w:t>L</w:t>
      </w:r>
      <w:r>
        <w:t xml:space="preserve">ocal </w:t>
      </w:r>
      <w:r w:rsidR="00492AC5">
        <w:t>d’Urbanisme intercommunal et de l’Habitat</w:t>
      </w:r>
      <w:r>
        <w:t xml:space="preserve"> (</w:t>
      </w:r>
      <w:proofErr w:type="spellStart"/>
      <w:r>
        <w:t>PLU</w:t>
      </w:r>
      <w:r w:rsidR="00492AC5">
        <w:t>iH</w:t>
      </w:r>
      <w:proofErr w:type="spellEnd"/>
      <w:r>
        <w:t xml:space="preserve">). </w:t>
      </w:r>
    </w:p>
    <w:p w14:paraId="690C8139" w14:textId="26F186C9" w:rsidR="0058212A" w:rsidRDefault="00D719AC" w:rsidP="007B7A7A">
      <w:pPr>
        <w:jc w:val="both"/>
      </w:pPr>
      <w:r>
        <w:t xml:space="preserve">Les effets des </w:t>
      </w:r>
      <w:r w:rsidR="00397D25">
        <w:t xml:space="preserve">pollutions lumineuses peuvent être </w:t>
      </w:r>
      <w:proofErr w:type="spellStart"/>
      <w:r w:rsidR="00397D25">
        <w:t>i</w:t>
      </w:r>
      <w:r>
        <w:t>mpactants</w:t>
      </w:r>
      <w:proofErr w:type="spellEnd"/>
      <w:r w:rsidR="00E41580">
        <w:t xml:space="preserve"> </w:t>
      </w:r>
      <w:r>
        <w:t>sur la biodiversité, notamment sur le cycle de vie des espèces nocturnes et sur le vieillissement précoce de la flore.</w:t>
      </w:r>
    </w:p>
    <w:p w14:paraId="1FC654E1" w14:textId="77777777" w:rsidR="0058212A" w:rsidRDefault="00D719AC" w:rsidP="007B7A7A">
      <w:pPr>
        <w:jc w:val="both"/>
      </w:pPr>
      <w:r>
        <w:t>La réduction des perturbations sur les écosystèmes est donc un enjeu à intégrer aux documents de référence de la commune.</w:t>
      </w:r>
    </w:p>
    <w:p w14:paraId="16B3082B" w14:textId="77777777" w:rsidR="0058212A" w:rsidRDefault="00D719AC" w:rsidP="00F11A83">
      <w:pPr>
        <w:pStyle w:val="Paragraphedeliste"/>
        <w:spacing w:before="120"/>
        <w:ind w:left="0"/>
        <w:contextualSpacing w:val="0"/>
        <w:jc w:val="both"/>
      </w:pPr>
      <w:r>
        <w:t xml:space="preserve">Pour tout projet d’aménagement, un schéma d’éclairage public sera élaboré afin de définir le matériel utilisé, la durée d’éclairage, le choix de l’extinction en fonction des usages du site. </w:t>
      </w:r>
    </w:p>
    <w:p w14:paraId="6D4D1796" w14:textId="77777777" w:rsidR="00272D58" w:rsidRDefault="00272D58" w:rsidP="00272D58">
      <w:pPr>
        <w:pStyle w:val="Paragraphedeliste"/>
        <w:ind w:left="1134"/>
      </w:pPr>
    </w:p>
    <w:p w14:paraId="418EB7A6" w14:textId="77777777" w:rsidR="0058212A" w:rsidRDefault="00D719AC" w:rsidP="00397D25">
      <w:pPr>
        <w:pStyle w:val="Paragraphedeliste"/>
        <w:numPr>
          <w:ilvl w:val="0"/>
          <w:numId w:val="1"/>
        </w:numPr>
      </w:pPr>
      <w:r w:rsidRPr="00397D25">
        <w:rPr>
          <w:b/>
        </w:rPr>
        <w:t>Innover</w:t>
      </w:r>
      <w:r w:rsidR="00272D58">
        <w:rPr>
          <w:b/>
        </w:rPr>
        <w:t xml:space="preserve"> grâce aux avancées technologiques</w:t>
      </w:r>
    </w:p>
    <w:p w14:paraId="1B283359" w14:textId="77777777" w:rsidR="00397D25" w:rsidRDefault="00D719AC" w:rsidP="007B7A7A">
      <w:pPr>
        <w:jc w:val="both"/>
      </w:pPr>
      <w:r>
        <w:t xml:space="preserve">Compte tenu de l’ampleur de son déploiement sur le territoire, le réseau d’éclairage public est particulièrement pertinent pour que de nouvelles fonctionnalités lui soient affectées. </w:t>
      </w:r>
    </w:p>
    <w:p w14:paraId="7046A137" w14:textId="77777777" w:rsidR="005E162A" w:rsidRDefault="00D719AC" w:rsidP="00F11A83">
      <w:pPr>
        <w:pStyle w:val="Paragraphedeliste"/>
        <w:ind w:left="0"/>
        <w:jc w:val="both"/>
      </w:pPr>
      <w:r>
        <w:t>Lors de rénovation ou de création de nouveaux réseaux, la collectivité doit être attentive à ces innovations</w:t>
      </w:r>
    </w:p>
    <w:p w14:paraId="60A3AA8C" w14:textId="77777777" w:rsidR="00272D58" w:rsidRDefault="00272D58" w:rsidP="00272D58">
      <w:pPr>
        <w:pStyle w:val="Paragraphedeliste"/>
        <w:ind w:left="1134"/>
      </w:pPr>
    </w:p>
    <w:p w14:paraId="01D2A889" w14:textId="77777777" w:rsidR="005E162A" w:rsidRDefault="00D719AC" w:rsidP="00397D25">
      <w:pPr>
        <w:pStyle w:val="Paragraphedeliste"/>
        <w:numPr>
          <w:ilvl w:val="0"/>
          <w:numId w:val="1"/>
        </w:numPr>
      </w:pPr>
      <w:r w:rsidRPr="00397D25">
        <w:rPr>
          <w:b/>
        </w:rPr>
        <w:t>Concevoir l’éclairage de demain</w:t>
      </w:r>
      <w:r>
        <w:t xml:space="preserve"> </w:t>
      </w:r>
    </w:p>
    <w:p w14:paraId="099843EC" w14:textId="77777777" w:rsidR="0058212A" w:rsidRDefault="00D719AC" w:rsidP="007B7A7A">
      <w:pPr>
        <w:jc w:val="both"/>
      </w:pPr>
      <w:r>
        <w:t>Les nouveaux projets feront l’objet d’une attention particulière, au regard des enjeux environnementaux, énergétiques et économiques.</w:t>
      </w:r>
    </w:p>
    <w:p w14:paraId="31727866" w14:textId="77777777" w:rsidR="0058212A" w:rsidRDefault="00D719AC" w:rsidP="007B7A7A">
      <w:pPr>
        <w:jc w:val="both"/>
      </w:pPr>
      <w:r>
        <w:t xml:space="preserve">Ils offrent l’occasion d’appliquer au plus juste les principes de la charte. </w:t>
      </w:r>
    </w:p>
    <w:p w14:paraId="0F81AC5A" w14:textId="77777777" w:rsidR="0058212A" w:rsidRDefault="00D719AC" w:rsidP="00397D25">
      <w:pPr>
        <w:pStyle w:val="Paragraphedeliste"/>
        <w:numPr>
          <w:ilvl w:val="0"/>
          <w:numId w:val="1"/>
        </w:numPr>
      </w:pPr>
      <w:r w:rsidRPr="00397D25">
        <w:rPr>
          <w:b/>
        </w:rPr>
        <w:t>Appliquer une gestion différenciée par type d’espace</w:t>
      </w:r>
      <w:r>
        <w:t xml:space="preserve"> </w:t>
      </w:r>
    </w:p>
    <w:p w14:paraId="7CBDB1FA" w14:textId="77777777" w:rsidR="00272D58" w:rsidRDefault="00272D58" w:rsidP="007B7A7A">
      <w:pPr>
        <w:jc w:val="both"/>
      </w:pPr>
      <w:r>
        <w:t>L’ensemble du territoire n’a pas les mêmes besoins d’éclairage public.</w:t>
      </w:r>
      <w:r w:rsidRPr="00A24B74">
        <w:t xml:space="preserve"> </w:t>
      </w:r>
      <w:r>
        <w:t>Il est essentiel d’adapter l’éclairage aux besoins, aux usages et à son environnement.</w:t>
      </w:r>
    </w:p>
    <w:p w14:paraId="1461ABA3" w14:textId="77777777" w:rsidR="00B10DFC" w:rsidRDefault="00B10DFC" w:rsidP="0048455A">
      <w:pPr>
        <w:rPr>
          <w:sz w:val="40"/>
          <w:szCs w:val="40"/>
        </w:rPr>
      </w:pPr>
    </w:p>
    <w:p w14:paraId="020245FD" w14:textId="77777777" w:rsidR="0048455A" w:rsidRDefault="0048455A" w:rsidP="0048455A">
      <w:pPr>
        <w:rPr>
          <w:b/>
          <w:sz w:val="40"/>
          <w:szCs w:val="40"/>
        </w:rPr>
      </w:pPr>
      <w:r w:rsidRPr="0048455A">
        <w:rPr>
          <w:b/>
          <w:sz w:val="40"/>
          <w:szCs w:val="40"/>
        </w:rPr>
        <w:t>N’éclairer que là où c’est nécessaire</w:t>
      </w:r>
    </w:p>
    <w:p w14:paraId="2C43B01C" w14:textId="77777777" w:rsidR="00A24B74" w:rsidRDefault="00A24B74" w:rsidP="007B7A7A">
      <w:pPr>
        <w:jc w:val="both"/>
      </w:pPr>
      <w:r>
        <w:t>La norme NF EN 13 201 détermine l’éclairage</w:t>
      </w:r>
      <w:r w:rsidR="00E41580">
        <w:t xml:space="preserve"> </w:t>
      </w:r>
      <w:r>
        <w:t>s</w:t>
      </w:r>
      <w:r w:rsidR="00B7315F">
        <w:t xml:space="preserve">elon une hiérarchie des voies des niveaux </w:t>
      </w:r>
      <w:r>
        <w:t xml:space="preserve">d’éclairement à obtenir. Cette norme n’a pas été rendue d’application obligatoire en France. </w:t>
      </w:r>
    </w:p>
    <w:p w14:paraId="3BC7FAAA" w14:textId="77777777" w:rsidR="004A7A5C" w:rsidRDefault="004A7A5C" w:rsidP="007B7A7A">
      <w:pPr>
        <w:jc w:val="both"/>
      </w:pPr>
      <w:r>
        <w:t>Il convient de différencier la qualité d’éclairement et l</w:t>
      </w:r>
      <w:r w:rsidR="00B7315F">
        <w:t>es pratiques selon les espaces :</w:t>
      </w:r>
    </w:p>
    <w:p w14:paraId="01E82A19" w14:textId="77777777" w:rsidR="0058212A" w:rsidRDefault="00D719AC" w:rsidP="007B7A7A">
      <w:pPr>
        <w:jc w:val="both"/>
      </w:pPr>
      <w:r w:rsidRPr="004A7A5C">
        <w:rPr>
          <w:b/>
        </w:rPr>
        <w:t>Les voies de circulation routière</w:t>
      </w:r>
      <w:r>
        <w:t xml:space="preserve"> (autoroutes, routes nationales et départementales) ne doivent pas être éclairées hors des zones habitées et hors zones dangereuses. </w:t>
      </w:r>
    </w:p>
    <w:p w14:paraId="42A3A87F" w14:textId="77777777" w:rsidR="0058212A" w:rsidRDefault="00D719AC" w:rsidP="007B7A7A">
      <w:pPr>
        <w:jc w:val="both"/>
      </w:pPr>
      <w:r w:rsidRPr="004A7A5C">
        <w:rPr>
          <w:b/>
        </w:rPr>
        <w:t>Les zones naturelles et agricoles Les sites d’intérêt écologique</w:t>
      </w:r>
      <w:r>
        <w:t xml:space="preserve"> (trames vertes et bleues, corridors biologiques, zonages de protection et réservoirs de biodiversité) ainsi que les zones agricoles ne seront pas éclairés la nuit.</w:t>
      </w:r>
    </w:p>
    <w:p w14:paraId="1B83D873" w14:textId="77777777" w:rsidR="0058212A" w:rsidRPr="004A7A5C" w:rsidRDefault="00D719AC" w:rsidP="007B7A7A">
      <w:pPr>
        <w:jc w:val="both"/>
        <w:rPr>
          <w:b/>
        </w:rPr>
      </w:pPr>
      <w:r w:rsidRPr="004A7A5C">
        <w:rPr>
          <w:b/>
        </w:rPr>
        <w:t xml:space="preserve">Les mises en valeur du patrimoine </w:t>
      </w:r>
    </w:p>
    <w:p w14:paraId="2C1362C2" w14:textId="77777777" w:rsidR="0058212A" w:rsidRDefault="00D719AC" w:rsidP="007B7A7A">
      <w:pPr>
        <w:jc w:val="both"/>
      </w:pPr>
      <w:r>
        <w:t xml:space="preserve">Pour la </w:t>
      </w:r>
      <w:r w:rsidR="00397D25">
        <w:t xml:space="preserve">rénovation ou la </w:t>
      </w:r>
      <w:r>
        <w:t>mise en valeur du patrimoine, des systèmes économes seront utilisés.</w:t>
      </w:r>
      <w:r w:rsidR="00CF428D">
        <w:t xml:space="preserve"> </w:t>
      </w:r>
      <w:r w:rsidR="00CB1B51">
        <w:t>Les LED</w:t>
      </w:r>
      <w:r>
        <w:t xml:space="preserve"> sont particulièrement adaptées dans ce cas et les spots dirigés vers le ciel sont à proscrire. </w:t>
      </w:r>
    </w:p>
    <w:p w14:paraId="7EC0820B" w14:textId="77777777" w:rsidR="00397D25" w:rsidRPr="004A7A5C" w:rsidRDefault="00D719AC" w:rsidP="008B183A">
      <w:pPr>
        <w:rPr>
          <w:b/>
        </w:rPr>
      </w:pPr>
      <w:r w:rsidRPr="004A7A5C">
        <w:rPr>
          <w:b/>
        </w:rPr>
        <w:t>Les équipements et bâtiments recevant du public</w:t>
      </w:r>
    </w:p>
    <w:p w14:paraId="3A49CA78" w14:textId="77777777" w:rsidR="00397D25" w:rsidRDefault="00D719AC" w:rsidP="007B7A7A">
      <w:pPr>
        <w:jc w:val="both"/>
      </w:pPr>
      <w:r>
        <w:t xml:space="preserve">Dans le cas de cheminements piétons extérieurs menant à des équipements ou des bâtiments accueillant du public, une règlementation spécifique existe (loi accessibilité de 2006). Elle impose un éclairage de 20 lux </w:t>
      </w:r>
      <w:r w:rsidR="00CB1B51">
        <w:t xml:space="preserve">moyen </w:t>
      </w:r>
      <w:r>
        <w:t xml:space="preserve">au sol pour les cheminements et parkings extérieurs. Il est à noter que cette règle ne concerne pas les trottoirs de la commune. </w:t>
      </w:r>
    </w:p>
    <w:p w14:paraId="3BE93BC7" w14:textId="77777777" w:rsidR="004A7A5C" w:rsidRPr="004A7A5C" w:rsidRDefault="00D719AC" w:rsidP="008B183A">
      <w:pPr>
        <w:rPr>
          <w:b/>
        </w:rPr>
      </w:pPr>
      <w:r w:rsidRPr="004A7A5C">
        <w:rPr>
          <w:b/>
        </w:rPr>
        <w:t xml:space="preserve">Extinction des bâtiments non résidentiels </w:t>
      </w:r>
    </w:p>
    <w:p w14:paraId="7DA7277E" w14:textId="77777777" w:rsidR="00C50A9A" w:rsidRDefault="00D719AC" w:rsidP="007B7A7A">
      <w:pPr>
        <w:jc w:val="both"/>
      </w:pPr>
      <w:r>
        <w:t xml:space="preserve">Les communes s’engagent à faire respecter l’arrêté suivant : Un arrêté ministériel relatif à l’éclairage nocturne impose que les éclairages intérieurs de locaux à usage professionnel soient éteints une heure après la fin d’occupation des dits locaux. </w:t>
      </w:r>
      <w:r w:rsidR="00CF428D">
        <w:t xml:space="preserve"> </w:t>
      </w:r>
      <w:r>
        <w:t xml:space="preserve">Ils peuvent être allumés à partir de 7 heures ou une heure avant le début de l’activité, si celle-ci s’exerce plus tôt. </w:t>
      </w:r>
    </w:p>
    <w:p w14:paraId="10A303B0" w14:textId="3894FF52" w:rsidR="0058212A" w:rsidRDefault="00D719AC" w:rsidP="007B7A7A">
      <w:pPr>
        <w:jc w:val="both"/>
      </w:pPr>
      <w:r w:rsidRPr="004A7A5C">
        <w:rPr>
          <w:b/>
        </w:rPr>
        <w:t>L’éclairage des façades des bâtiments</w:t>
      </w:r>
      <w:r>
        <w:t xml:space="preserve"> doit être éteint au plus tard à 1 heure</w:t>
      </w:r>
      <w:r w:rsidR="00E5098F">
        <w:t xml:space="preserve"> du matin</w:t>
      </w:r>
      <w:r>
        <w:t xml:space="preserve"> et ne peut être allumé avant le coucher du soleil. (Arrêté du 25 janvier 2013, version consolidée au 26 août 2015)</w:t>
      </w:r>
      <w:r w:rsidR="00CF428D">
        <w:t xml:space="preserve">. </w:t>
      </w:r>
      <w:r>
        <w:t>Les espaces associés à ces bâtiments doivent être éclairés en cohérence avec leur usage.</w:t>
      </w:r>
    </w:p>
    <w:p w14:paraId="58D1349A" w14:textId="77777777" w:rsidR="004A7A5C" w:rsidRPr="004A7A5C" w:rsidRDefault="00D719AC" w:rsidP="007B7A7A">
      <w:pPr>
        <w:jc w:val="both"/>
        <w:rPr>
          <w:b/>
        </w:rPr>
      </w:pPr>
      <w:r w:rsidRPr="004A7A5C">
        <w:rPr>
          <w:b/>
        </w:rPr>
        <w:t xml:space="preserve"> Les mises en valeur du patrimoine et les éclairages festifs </w:t>
      </w:r>
    </w:p>
    <w:p w14:paraId="6CDBE497" w14:textId="77777777" w:rsidR="0058212A" w:rsidRDefault="00D719AC" w:rsidP="007B7A7A">
      <w:pPr>
        <w:jc w:val="both"/>
      </w:pPr>
      <w:r>
        <w:t xml:space="preserve">La durée quotidienne des éclairages de mise en valeur est à limiter. </w:t>
      </w:r>
      <w:r w:rsidR="00CF428D">
        <w:t xml:space="preserve"> </w:t>
      </w:r>
      <w:r>
        <w:t xml:space="preserve">Les systèmes lumineux utilisés sont à équiper de dispositifs de contrôle, permettant l’extinction au cours de la nuit. </w:t>
      </w:r>
    </w:p>
    <w:p w14:paraId="4ADD5D3B" w14:textId="77777777" w:rsidR="00CF428D" w:rsidRDefault="00CF428D" w:rsidP="007B7A7A">
      <w:pPr>
        <w:jc w:val="both"/>
      </w:pPr>
    </w:p>
    <w:p w14:paraId="294E7B53" w14:textId="77777777" w:rsidR="001E3973" w:rsidRDefault="00B7315F" w:rsidP="001E3973">
      <w:pPr>
        <w:rPr>
          <w:b/>
          <w:sz w:val="40"/>
          <w:szCs w:val="40"/>
        </w:rPr>
      </w:pPr>
      <w:r>
        <w:rPr>
          <w:b/>
          <w:sz w:val="40"/>
          <w:szCs w:val="40"/>
        </w:rPr>
        <w:t>N</w:t>
      </w:r>
      <w:r w:rsidRPr="0048455A">
        <w:rPr>
          <w:b/>
          <w:sz w:val="40"/>
          <w:szCs w:val="40"/>
        </w:rPr>
        <w:t>’éclairer que quand c’est nécessaire</w:t>
      </w:r>
    </w:p>
    <w:p w14:paraId="42DDDF4B" w14:textId="77777777" w:rsidR="006340DA" w:rsidRDefault="006340DA" w:rsidP="007B7A7A">
      <w:pPr>
        <w:jc w:val="both"/>
      </w:pPr>
      <w:r>
        <w:t>Des solutions</w:t>
      </w:r>
      <w:r w:rsidR="00E41580">
        <w:t xml:space="preserve"> </w:t>
      </w:r>
      <w:r>
        <w:t>techniques existent pour adapter</w:t>
      </w:r>
      <w:r w:rsidR="00E41580">
        <w:t xml:space="preserve"> </w:t>
      </w:r>
      <w:r>
        <w:t>pour adapter les niveaux et les</w:t>
      </w:r>
      <w:r w:rsidR="00E41580">
        <w:t xml:space="preserve"> </w:t>
      </w:r>
      <w:r>
        <w:t>temps d’éclairage :</w:t>
      </w:r>
    </w:p>
    <w:p w14:paraId="54CC064E" w14:textId="77777777" w:rsidR="001E3973" w:rsidRDefault="001E3973" w:rsidP="007B7A7A">
      <w:pPr>
        <w:pStyle w:val="Paragraphedeliste"/>
        <w:numPr>
          <w:ilvl w:val="0"/>
          <w:numId w:val="1"/>
        </w:numPr>
        <w:jc w:val="both"/>
      </w:pPr>
      <w:r w:rsidRPr="00AB79C4">
        <w:rPr>
          <w:b/>
        </w:rPr>
        <w:t>L’abaissement</w:t>
      </w:r>
      <w:r w:rsidR="00E41580">
        <w:rPr>
          <w:b/>
        </w:rPr>
        <w:t xml:space="preserve"> </w:t>
      </w:r>
      <w:r w:rsidRPr="00AB79C4">
        <w:rPr>
          <w:b/>
        </w:rPr>
        <w:t>de l’intensité lumineuse aux heures de moindre utilisation</w:t>
      </w:r>
    </w:p>
    <w:p w14:paraId="321AB1CF" w14:textId="77777777" w:rsidR="00B7315F" w:rsidRDefault="00B7315F" w:rsidP="007B7A7A">
      <w:pPr>
        <w:jc w:val="both"/>
      </w:pPr>
      <w:r>
        <w:t>De manière générale, l’intensité de l’éclairage doit être proportionnée aux besoins réels de visibilité et de sécurité pour prendre en compte les impacts environnementaux et la gêne occasionnée pour les habitants d’un éclairage trop fort.</w:t>
      </w:r>
    </w:p>
    <w:p w14:paraId="45241303" w14:textId="77777777" w:rsidR="0058212A" w:rsidRPr="00AB79C4" w:rsidRDefault="00B7315F" w:rsidP="007B7A7A">
      <w:pPr>
        <w:pStyle w:val="Paragraphedeliste"/>
        <w:numPr>
          <w:ilvl w:val="0"/>
          <w:numId w:val="1"/>
        </w:numPr>
        <w:jc w:val="both"/>
        <w:rPr>
          <w:b/>
        </w:rPr>
      </w:pPr>
      <w:r w:rsidRPr="00AB79C4">
        <w:rPr>
          <w:b/>
        </w:rPr>
        <w:t>L</w:t>
      </w:r>
      <w:r w:rsidR="009130D7" w:rsidRPr="00AB79C4">
        <w:rPr>
          <w:b/>
        </w:rPr>
        <w:t>’e</w:t>
      </w:r>
      <w:r w:rsidR="00D719AC" w:rsidRPr="00AB79C4">
        <w:rPr>
          <w:b/>
        </w:rPr>
        <w:t xml:space="preserve">xtinction partielle de l’éclairage public </w:t>
      </w:r>
    </w:p>
    <w:p w14:paraId="13FA3881" w14:textId="77777777" w:rsidR="0058212A" w:rsidRPr="00CF428D" w:rsidRDefault="00D719AC" w:rsidP="00F11A83">
      <w:pPr>
        <w:jc w:val="both"/>
        <w:rPr>
          <w:strike/>
        </w:rPr>
      </w:pPr>
      <w:r>
        <w:t>Le maire doit assurer la sécurité publique sur le territoire de sa commune. Il peut toutefois décider de ne pas éclairer certains lieux ou de couper l’éclairage au cours de la nuit.</w:t>
      </w:r>
      <w:r w:rsidR="00CF428D">
        <w:t xml:space="preserve"> </w:t>
      </w:r>
      <w:r>
        <w:t xml:space="preserve"> L’absence ou la coupure de l’éclairage sont en effet parmi les mesures les plus adaptées pour réduire la consommation électrique de la commune et les dépenses publiques associées. </w:t>
      </w:r>
    </w:p>
    <w:p w14:paraId="01565B40" w14:textId="77777777" w:rsidR="0058212A" w:rsidRDefault="0058212A" w:rsidP="007B7A7A">
      <w:pPr>
        <w:jc w:val="both"/>
      </w:pPr>
      <w:r>
        <w:t xml:space="preserve">Le </w:t>
      </w:r>
      <w:r w:rsidR="000B6D77">
        <w:t>SDE22</w:t>
      </w:r>
      <w:r w:rsidR="00E41580">
        <w:t xml:space="preserve"> </w:t>
      </w:r>
      <w:r w:rsidR="00D719AC">
        <w:t xml:space="preserve">peut accompagner les communes dans la mise en place d’extinction partielle ou totale, ainsi que pour l’adaptation des équipements existants. </w:t>
      </w:r>
    </w:p>
    <w:p w14:paraId="68F74412" w14:textId="77777777" w:rsidR="0058212A" w:rsidRDefault="00D719AC" w:rsidP="007B7A7A">
      <w:pPr>
        <w:jc w:val="both"/>
      </w:pPr>
      <w:r w:rsidRPr="004278BC">
        <w:rPr>
          <w:b/>
        </w:rPr>
        <w:t xml:space="preserve">Lorsqu’il est envisagé de pratiquer une extinction partielle ou totale de l’éclairage public, la commune doit respecter </w:t>
      </w:r>
      <w:r w:rsidRPr="004278BC">
        <w:rPr>
          <w:b/>
          <w:u w:val="single"/>
        </w:rPr>
        <w:t>certaines étapes de mise en œuvre</w:t>
      </w:r>
      <w:r>
        <w:t xml:space="preserve"> :</w:t>
      </w:r>
    </w:p>
    <w:p w14:paraId="70FB4B9E" w14:textId="77777777" w:rsidR="0058212A" w:rsidRDefault="00F11A83" w:rsidP="007B7A7A">
      <w:pPr>
        <w:pStyle w:val="Paragraphedeliste"/>
        <w:numPr>
          <w:ilvl w:val="0"/>
          <w:numId w:val="8"/>
        </w:numPr>
        <w:jc w:val="both"/>
      </w:pPr>
      <w:r w:rsidRPr="004278BC">
        <w:rPr>
          <w:b/>
        </w:rPr>
        <w:t>Réaliser</w:t>
      </w:r>
      <w:r w:rsidR="00D719AC" w:rsidRPr="004278BC">
        <w:rPr>
          <w:b/>
        </w:rPr>
        <w:t xml:space="preserve"> un état des lieux</w:t>
      </w:r>
      <w:r w:rsidR="00D719AC">
        <w:t>,</w:t>
      </w:r>
    </w:p>
    <w:p w14:paraId="7390D2F9" w14:textId="77777777" w:rsidR="0058212A" w:rsidRDefault="00135D7E" w:rsidP="007B7A7A">
      <w:pPr>
        <w:jc w:val="both"/>
      </w:pPr>
      <w:r>
        <w:t>Identifier</w:t>
      </w:r>
      <w:r w:rsidR="00D719AC">
        <w:t xml:space="preserve"> les secteurs à risque et les secteurs à éteindre, </w:t>
      </w:r>
    </w:p>
    <w:p w14:paraId="15FA8DED" w14:textId="77777777" w:rsidR="0058212A" w:rsidRDefault="00135D7E" w:rsidP="007B7A7A">
      <w:pPr>
        <w:jc w:val="both"/>
      </w:pPr>
      <w:r>
        <w:t>Vérifier</w:t>
      </w:r>
      <w:r w:rsidR="00D719AC">
        <w:t xml:space="preserve"> que les réseaux à éteindre sont équipés d’horloges astronomiques (techniquement, l’extinction s’effectue grâce à cet équipement), </w:t>
      </w:r>
    </w:p>
    <w:p w14:paraId="48236D20" w14:textId="4713CC19" w:rsidR="00C65E92" w:rsidRDefault="00C65E92" w:rsidP="007B7A7A">
      <w:pPr>
        <w:jc w:val="both"/>
      </w:pPr>
      <w:r>
        <w:t xml:space="preserve">Vérifier si ces commandes ne sont pas concernées par d’autres usages que l’éclairage </w:t>
      </w:r>
      <w:r w:rsidR="00135D7E">
        <w:t>public,</w:t>
      </w:r>
      <w:r>
        <w:t xml:space="preserve"> vidéo surveillance,</w:t>
      </w:r>
      <w:r w:rsidR="00E41580">
        <w:t xml:space="preserve"> </w:t>
      </w:r>
      <w:r>
        <w:t>signalisation ou dispositif sécuritaire…)</w:t>
      </w:r>
    </w:p>
    <w:p w14:paraId="5D89B6B8" w14:textId="77777777" w:rsidR="00E5098F" w:rsidRDefault="00E5098F" w:rsidP="007B7A7A">
      <w:pPr>
        <w:jc w:val="both"/>
      </w:pPr>
    </w:p>
    <w:p w14:paraId="121E4F07" w14:textId="77777777" w:rsidR="0058212A" w:rsidRDefault="00F11A83" w:rsidP="007B7A7A">
      <w:pPr>
        <w:pStyle w:val="Paragraphedeliste"/>
        <w:numPr>
          <w:ilvl w:val="0"/>
          <w:numId w:val="8"/>
        </w:numPr>
        <w:jc w:val="both"/>
      </w:pPr>
      <w:r w:rsidRPr="004278BC">
        <w:rPr>
          <w:b/>
        </w:rPr>
        <w:t>Déterminer</w:t>
      </w:r>
      <w:r w:rsidR="00D719AC" w:rsidRPr="004278BC">
        <w:rPr>
          <w:b/>
        </w:rPr>
        <w:t xml:space="preserve"> les lieux et la période d’extinction</w:t>
      </w:r>
      <w:r w:rsidR="00D719AC">
        <w:t xml:space="preserve">. </w:t>
      </w:r>
    </w:p>
    <w:p w14:paraId="2FCA7053" w14:textId="77777777" w:rsidR="00AB79C4" w:rsidRDefault="00D719AC" w:rsidP="007B7A7A">
      <w:pPr>
        <w:jc w:val="both"/>
      </w:pPr>
      <w:r>
        <w:t>Ce choix peut être effectué à partir d’indicateurs d’activité ou d’usage d’un espace, en étudiant par exemple la fréquentation des voies de circulation d’après les comptages routiers des communes, les données de fréquentation de transports en commun, les horaires d’un cinéma, etc.</w:t>
      </w:r>
    </w:p>
    <w:p w14:paraId="0443DD26" w14:textId="77777777" w:rsidR="0058212A" w:rsidRPr="004278BC" w:rsidRDefault="00F11A83" w:rsidP="007B7A7A">
      <w:pPr>
        <w:pStyle w:val="Paragraphedeliste"/>
        <w:numPr>
          <w:ilvl w:val="0"/>
          <w:numId w:val="8"/>
        </w:numPr>
        <w:jc w:val="both"/>
        <w:rPr>
          <w:b/>
        </w:rPr>
      </w:pPr>
      <w:r w:rsidRPr="004278BC">
        <w:rPr>
          <w:b/>
        </w:rPr>
        <w:t>Prendre</w:t>
      </w:r>
      <w:r w:rsidR="00D719AC" w:rsidRPr="004278BC">
        <w:rPr>
          <w:b/>
        </w:rPr>
        <w:t xml:space="preserve"> un arrêté municipal, accompagné d’une communication publique,</w:t>
      </w:r>
    </w:p>
    <w:p w14:paraId="3A87A8BD" w14:textId="77777777" w:rsidR="0058212A" w:rsidRDefault="00D719AC" w:rsidP="007B7A7A">
      <w:pPr>
        <w:jc w:val="both"/>
      </w:pPr>
      <w:r>
        <w:t xml:space="preserve">Tout changement dans les horaires de fonctionnement de l’éclairage public doit faire l’objet d’un arrêté municipal et d’une publicité selon le CGCT (article L2131-1 et -2). </w:t>
      </w:r>
    </w:p>
    <w:p w14:paraId="01611B67" w14:textId="77777777" w:rsidR="0058212A" w:rsidRDefault="00F11A83" w:rsidP="007B7A7A">
      <w:pPr>
        <w:pStyle w:val="Paragraphedeliste"/>
        <w:numPr>
          <w:ilvl w:val="0"/>
          <w:numId w:val="1"/>
        </w:numPr>
        <w:jc w:val="both"/>
      </w:pPr>
      <w:r w:rsidRPr="004A7A5C">
        <w:rPr>
          <w:b/>
        </w:rPr>
        <w:t>Réaliser</w:t>
      </w:r>
      <w:r w:rsidR="00D719AC" w:rsidRPr="004A7A5C">
        <w:rPr>
          <w:b/>
        </w:rPr>
        <w:t xml:space="preserve"> des aménagements spécifiques au besoin sur certains sites (éclairage par dé</w:t>
      </w:r>
      <w:r w:rsidR="0058212A" w:rsidRPr="004A7A5C">
        <w:rPr>
          <w:b/>
        </w:rPr>
        <w:t xml:space="preserve">tection, signalisation </w:t>
      </w:r>
      <w:r w:rsidR="00135D7E" w:rsidRPr="004A7A5C">
        <w:rPr>
          <w:b/>
        </w:rPr>
        <w:t>passive)</w:t>
      </w:r>
    </w:p>
    <w:p w14:paraId="0564EF80" w14:textId="77777777" w:rsidR="0058212A" w:rsidRPr="0058212A" w:rsidRDefault="00F11A83" w:rsidP="007B7A7A">
      <w:pPr>
        <w:jc w:val="both"/>
        <w:rPr>
          <w:b/>
        </w:rPr>
      </w:pPr>
      <w:r>
        <w:t>En</w:t>
      </w:r>
      <w:r w:rsidR="00D719AC">
        <w:t xml:space="preserve"> fonction de la circulation et de la sécurité des lieux et des personnes, </w:t>
      </w:r>
    </w:p>
    <w:p w14:paraId="0C44B402" w14:textId="77777777" w:rsidR="0058212A" w:rsidRPr="004A7A5C" w:rsidRDefault="00F11A83" w:rsidP="007B7A7A">
      <w:pPr>
        <w:pStyle w:val="Paragraphedeliste"/>
        <w:numPr>
          <w:ilvl w:val="0"/>
          <w:numId w:val="1"/>
        </w:numPr>
        <w:jc w:val="both"/>
        <w:rPr>
          <w:b/>
        </w:rPr>
      </w:pPr>
      <w:r w:rsidRPr="004A7A5C">
        <w:rPr>
          <w:b/>
        </w:rPr>
        <w:t>Procéder</w:t>
      </w:r>
      <w:r w:rsidR="00D719AC" w:rsidRPr="004A7A5C">
        <w:rPr>
          <w:b/>
        </w:rPr>
        <w:t xml:space="preserve"> à l’extinction sur une période expérimentale, évaluer les résultats obtenus. </w:t>
      </w:r>
    </w:p>
    <w:p w14:paraId="42BA59AC" w14:textId="77777777" w:rsidR="00B7315F" w:rsidRDefault="00D719AC" w:rsidP="007B7A7A">
      <w:pPr>
        <w:jc w:val="both"/>
      </w:pPr>
      <w:r>
        <w:t>Il est préconisé de pratiquer l’extinction des voies de circulation peu fréquentées ne présentant pas de danger particu</w:t>
      </w:r>
      <w:r w:rsidR="00C65E92">
        <w:t>lier. De nombreuses</w:t>
      </w:r>
      <w:r w:rsidR="00E41580">
        <w:t xml:space="preserve"> </w:t>
      </w:r>
      <w:r>
        <w:t xml:space="preserve">communes pratiquent déjà l’extinction partielle de leur éclairage public </w:t>
      </w:r>
    </w:p>
    <w:p w14:paraId="020EE4C0" w14:textId="77777777" w:rsidR="00AB79C4" w:rsidRDefault="00AB79C4" w:rsidP="007B7A7A">
      <w:pPr>
        <w:jc w:val="both"/>
        <w:rPr>
          <w:b/>
        </w:rPr>
      </w:pPr>
      <w:r>
        <w:rPr>
          <w:b/>
        </w:rPr>
        <w:t>Des économies possibles grâce à l’extinction partielle :</w:t>
      </w:r>
    </w:p>
    <w:p w14:paraId="106A4776" w14:textId="77777777" w:rsidR="00AB79C4" w:rsidRDefault="00AB79C4" w:rsidP="007B7A7A">
      <w:pPr>
        <w:jc w:val="both"/>
      </w:pPr>
      <w:r>
        <w:t>Les économies d’énergie sont de l’ordre de 50 % suivant les plages horaires choisies par rapport à un éclairage permanent. Une heure d’extinction correspond à 8 % d’économie d’énergie.</w:t>
      </w:r>
      <w:r w:rsidR="00CF428D">
        <w:t xml:space="preserve"> </w:t>
      </w:r>
      <w:r>
        <w:t xml:space="preserve"> L’extinction n’exclut pas le remplacement et la modernisation des équipements en place pour faire encore plus d’économies. </w:t>
      </w:r>
      <w:r w:rsidR="00CF428D">
        <w:t xml:space="preserve"> </w:t>
      </w:r>
      <w:r>
        <w:t>En effet, pratiquer plusieurs allumages et extinctions</w:t>
      </w:r>
      <w:r w:rsidR="00E41580">
        <w:t xml:space="preserve"> </w:t>
      </w:r>
      <w:r>
        <w:t>sur des équipements anciens et mal adaptés</w:t>
      </w:r>
      <w:r w:rsidR="00E41580">
        <w:t xml:space="preserve"> </w:t>
      </w:r>
      <w:r>
        <w:t>peut les endommager</w:t>
      </w:r>
      <w:r w:rsidR="00E41580">
        <w:t xml:space="preserve"> </w:t>
      </w:r>
      <w:r>
        <w:t>plus rapidement</w:t>
      </w:r>
      <w:r w:rsidR="00E41580">
        <w:t xml:space="preserve"> </w:t>
      </w:r>
      <w:r>
        <w:t xml:space="preserve">et rendre plus coûteux sa maintenance. </w:t>
      </w:r>
    </w:p>
    <w:p w14:paraId="584425B4" w14:textId="77777777" w:rsidR="004278BC" w:rsidRDefault="004278BC" w:rsidP="007B7A7A">
      <w:pPr>
        <w:jc w:val="both"/>
      </w:pPr>
      <w:r>
        <w:t>A proscrire :</w:t>
      </w:r>
    </w:p>
    <w:p w14:paraId="49673ED6" w14:textId="77777777" w:rsidR="00AB79C4" w:rsidRDefault="00AB79C4" w:rsidP="007B7A7A">
      <w:pPr>
        <w:jc w:val="both"/>
      </w:pPr>
      <w:r>
        <w:rPr>
          <w:b/>
        </w:rPr>
        <w:t>L</w:t>
      </w:r>
      <w:r w:rsidRPr="006340DA">
        <w:rPr>
          <w:b/>
        </w:rPr>
        <w:t>’extinction d’un lampadaire sur deux</w:t>
      </w:r>
      <w:r w:rsidR="004278BC">
        <w:rPr>
          <w:b/>
        </w:rPr>
        <w:t>.</w:t>
      </w:r>
    </w:p>
    <w:p w14:paraId="18E2666B" w14:textId="77777777" w:rsidR="00AB79C4" w:rsidRDefault="00AB79C4" w:rsidP="007B7A7A">
      <w:pPr>
        <w:jc w:val="both"/>
      </w:pPr>
      <w:r>
        <w:t xml:space="preserve">En effet, l’alternance entre zones d’ombre et zones éclairées constitue un danger, car cela réduit la visibilité, l’œil n’ayant pas le temps de s’habituer </w:t>
      </w:r>
      <w:r w:rsidR="00135D7E">
        <w:t>(effet</w:t>
      </w:r>
      <w:r>
        <w:t xml:space="preserve"> stroboscopique).</w:t>
      </w:r>
    </w:p>
    <w:p w14:paraId="407FE612" w14:textId="77777777" w:rsidR="00AB79C4" w:rsidRDefault="00AB79C4" w:rsidP="007B7A7A">
      <w:pPr>
        <w:jc w:val="both"/>
      </w:pPr>
      <w:r>
        <w:t>Par ailleurs, le respect de l’uniformité d’éclairement au sol est un enjeu pour améliorer la sécurité routière qui n’est pas compatible avec</w:t>
      </w:r>
      <w:r w:rsidR="00E41580">
        <w:t xml:space="preserve"> </w:t>
      </w:r>
      <w:r>
        <w:t>ce type de fonctionnement.</w:t>
      </w:r>
    </w:p>
    <w:p w14:paraId="172996E4" w14:textId="77777777" w:rsidR="00B7315F" w:rsidRDefault="00B7315F" w:rsidP="007B7A7A">
      <w:pPr>
        <w:jc w:val="both"/>
        <w:rPr>
          <w:b/>
          <w:sz w:val="40"/>
          <w:szCs w:val="40"/>
        </w:rPr>
      </w:pPr>
      <w:r>
        <w:rPr>
          <w:b/>
          <w:sz w:val="40"/>
          <w:szCs w:val="40"/>
        </w:rPr>
        <w:t>Adapter l’éclairage aux usages</w:t>
      </w:r>
      <w:r w:rsidRPr="009130D7">
        <w:rPr>
          <w:b/>
          <w:sz w:val="40"/>
          <w:szCs w:val="40"/>
        </w:rPr>
        <w:t xml:space="preserve"> et à la biodiversité</w:t>
      </w:r>
    </w:p>
    <w:p w14:paraId="318E58C9" w14:textId="77777777" w:rsidR="00B7315F" w:rsidRDefault="00B7315F" w:rsidP="007B7A7A">
      <w:pPr>
        <w:jc w:val="both"/>
      </w:pPr>
      <w:r>
        <w:t xml:space="preserve">Les nuisances lumineuses </w:t>
      </w:r>
      <w:r w:rsidR="00CB1B51">
        <w:t>affectent</w:t>
      </w:r>
      <w:r>
        <w:t xml:space="preserve"> les écosystèmes (faune et flore). Mais elles peuvent aussi devenir une pollution continue en tant que telle aux effets irréversibles.</w:t>
      </w:r>
      <w:r w:rsidR="00CF428D">
        <w:t xml:space="preserve"> </w:t>
      </w:r>
      <w:r>
        <w:t xml:space="preserve">La biodiversité diurne, comme nocturne, a besoin d’une alternance du jour et de la nuit. </w:t>
      </w:r>
    </w:p>
    <w:p w14:paraId="3CF0D416" w14:textId="77777777" w:rsidR="00B7315F" w:rsidRDefault="00B7315F" w:rsidP="007B7A7A">
      <w:pPr>
        <w:jc w:val="both"/>
      </w:pPr>
      <w:r>
        <w:t>Beaucoup d’espèces dans le monde du vivant sont nocturnes : plus de 60 % des invertébrés et mammifères, 90 % des amphibiens, 95 % des papillons en France… et ont donc le besoin d’une obscurité la plus complète et la plus longue possible pour assurer leur cycle biologique (alimentation, reproduction, migration…).</w:t>
      </w:r>
    </w:p>
    <w:p w14:paraId="7E052B40" w14:textId="77777777" w:rsidR="00B7315F" w:rsidRDefault="00B7315F" w:rsidP="007B7A7A">
      <w:pPr>
        <w:jc w:val="both"/>
      </w:pPr>
      <w:r>
        <w:t xml:space="preserve"> Les espèces diurnes ont aussi besoin de la nuit, tout simplement pour se reposer et régénérer efficacement les cellules de leur organisme. Les parcs et jardins Ils doivent rester le plus longtemps possible dans le noir. </w:t>
      </w:r>
      <w:r w:rsidR="00CF428D">
        <w:t xml:space="preserve"> </w:t>
      </w:r>
      <w:r>
        <w:t xml:space="preserve">Dans le cas où ils seraient éclairés, une attention particulière sera apportée au choix des équipements afin que leur nombre, leur puissance et leur orientation (vers le ciel et les arbres) nuisent le moins possible à l’environnement. </w:t>
      </w:r>
    </w:p>
    <w:p w14:paraId="27593F98" w14:textId="77777777" w:rsidR="00B7315F" w:rsidRDefault="00B7315F" w:rsidP="007B7A7A">
      <w:pPr>
        <w:jc w:val="both"/>
      </w:pPr>
      <w:r>
        <w:t xml:space="preserve">« Prévenir, supprimer, limiter les nuisances lumineuses » est désormais un enjeu inscrit dans les lois Grenelle. </w:t>
      </w:r>
    </w:p>
    <w:p w14:paraId="25E9821D" w14:textId="77777777" w:rsidR="00B7315F" w:rsidRDefault="00B7315F" w:rsidP="007B7A7A">
      <w:pPr>
        <w:jc w:val="both"/>
      </w:pPr>
      <w:r>
        <w:t>Dans la Loi Grenelle I, l’article 41 précise : « Les émissions de lumière artificielle de nature à présenter des dangers ou à causer un trouble excessif aux personnes, à la faune, à la flore ou aux écosystèmes, entraînant un gaspillage énergétique ou empêchant l’observation du ciel nocturne feront l’objet de mesures de prévention, de suppression ou de limitation. » (Loi n° 2009-967 du 3 août 2009)</w:t>
      </w:r>
    </w:p>
    <w:p w14:paraId="0A31487D" w14:textId="77777777" w:rsidR="00B7315F" w:rsidRDefault="00B7315F" w:rsidP="007B7A7A">
      <w:pPr>
        <w:jc w:val="both"/>
      </w:pPr>
      <w:r>
        <w:t>Les communes s’engagent à fai</w:t>
      </w:r>
      <w:r w:rsidR="001E3973">
        <w:t xml:space="preserve">re respecter l’arrêté </w:t>
      </w:r>
      <w:r>
        <w:t xml:space="preserve">relatif à l’éclairage nocturne des bâtiments non résidentiels concerne également les éclairages de mise en valeur du patrimoine : interdiction d’éclairer les façades dès 1h du matin afin de limiter les nuisances lumineuses et les consommations d’énergie (Arrêté du 25 janvier 2013, version consolidée au 26 août 2015). Bien qu’occasionnels, les éclairages festifs devront être exemplaires et appliquer les principes de la charte. </w:t>
      </w:r>
    </w:p>
    <w:p w14:paraId="1FB68E7F" w14:textId="77777777" w:rsidR="00B7315F" w:rsidRDefault="00B7315F" w:rsidP="007B7A7A">
      <w:pPr>
        <w:jc w:val="both"/>
      </w:pPr>
      <w:r>
        <w:t>Ils devront être limités à certaines périodes de l’année.</w:t>
      </w:r>
    </w:p>
    <w:p w14:paraId="3985629F" w14:textId="77777777" w:rsidR="00BD1307" w:rsidRPr="00B7315F" w:rsidRDefault="001E3973" w:rsidP="007B7A7A">
      <w:pPr>
        <w:pStyle w:val="Paragraphedeliste"/>
        <w:numPr>
          <w:ilvl w:val="0"/>
          <w:numId w:val="1"/>
        </w:numPr>
        <w:jc w:val="both"/>
        <w:rPr>
          <w:b/>
        </w:rPr>
      </w:pPr>
      <w:r>
        <w:rPr>
          <w:b/>
        </w:rPr>
        <w:t>Prendre en compte d</w:t>
      </w:r>
      <w:r w:rsidR="00ED6519" w:rsidRPr="00B7315F">
        <w:rPr>
          <w:b/>
        </w:rPr>
        <w:t>es c</w:t>
      </w:r>
      <w:r w:rsidR="00D719AC" w:rsidRPr="00B7315F">
        <w:rPr>
          <w:b/>
        </w:rPr>
        <w:t xml:space="preserve">ritères environnementaux </w:t>
      </w:r>
    </w:p>
    <w:p w14:paraId="4D254859" w14:textId="77777777" w:rsidR="00ED6519" w:rsidRDefault="00D719AC" w:rsidP="007B7A7A">
      <w:pPr>
        <w:jc w:val="both"/>
      </w:pPr>
      <w:r>
        <w:t xml:space="preserve">Les </w:t>
      </w:r>
      <w:r w:rsidR="006340DA">
        <w:t>actions</w:t>
      </w:r>
      <w:r w:rsidR="00E41580">
        <w:t xml:space="preserve"> </w:t>
      </w:r>
      <w:r>
        <w:t xml:space="preserve">à prendre en compte afin de réduire l’impact environnemental de l’éclairage public sont : </w:t>
      </w:r>
    </w:p>
    <w:p w14:paraId="2A556F53" w14:textId="77777777" w:rsidR="001E3973" w:rsidRDefault="00AB79C4" w:rsidP="007B7A7A">
      <w:pPr>
        <w:jc w:val="both"/>
      </w:pPr>
      <w:r>
        <w:rPr>
          <w:b/>
        </w:rPr>
        <w:t>-</w:t>
      </w:r>
      <w:r w:rsidR="00F11A83">
        <w:rPr>
          <w:b/>
        </w:rPr>
        <w:t xml:space="preserve"> </w:t>
      </w:r>
      <w:r w:rsidR="001E3973">
        <w:rPr>
          <w:b/>
        </w:rPr>
        <w:t xml:space="preserve">réduire </w:t>
      </w:r>
      <w:r w:rsidR="00D719AC" w:rsidRPr="00ED6519">
        <w:rPr>
          <w:b/>
        </w:rPr>
        <w:t>la consommation d’énergie</w:t>
      </w:r>
      <w:r w:rsidR="00D719AC">
        <w:t xml:space="preserve"> : </w:t>
      </w:r>
    </w:p>
    <w:p w14:paraId="2A9C99B2" w14:textId="77777777" w:rsidR="00AB79C4" w:rsidRDefault="00D719AC" w:rsidP="007B7A7A">
      <w:pPr>
        <w:pStyle w:val="Paragraphedeliste"/>
        <w:numPr>
          <w:ilvl w:val="0"/>
          <w:numId w:val="7"/>
        </w:numPr>
        <w:jc w:val="both"/>
      </w:pPr>
      <w:proofErr w:type="gramStart"/>
      <w:r>
        <w:t>préférer</w:t>
      </w:r>
      <w:proofErr w:type="gramEnd"/>
      <w:r>
        <w:t xml:space="preserve"> les équipements les plus économes</w:t>
      </w:r>
    </w:p>
    <w:p w14:paraId="54C113A2" w14:textId="77777777" w:rsidR="00BD1307" w:rsidRDefault="00D719AC" w:rsidP="007B7A7A">
      <w:pPr>
        <w:pStyle w:val="Paragraphedeliste"/>
        <w:numPr>
          <w:ilvl w:val="0"/>
          <w:numId w:val="7"/>
        </w:numPr>
        <w:jc w:val="both"/>
      </w:pPr>
      <w:proofErr w:type="gramStart"/>
      <w:r>
        <w:t>l’utilisation</w:t>
      </w:r>
      <w:proofErr w:type="gramEnd"/>
      <w:r>
        <w:t xml:space="preserve"> de matières premières : privilégier les éco</w:t>
      </w:r>
      <w:r w:rsidR="00727BBC">
        <w:t>-</w:t>
      </w:r>
      <w:r>
        <w:t>conceptions et la réutilisation des mâts existants pour les projets de rénovation</w:t>
      </w:r>
      <w:r w:rsidR="001E3973">
        <w:t>.</w:t>
      </w:r>
      <w:r>
        <w:t xml:space="preserve"> La quasi-totalité des matériaux liés à l’éclairage public est recyclable. Les supports béton peuvent être concassés puis recyclés. </w:t>
      </w:r>
    </w:p>
    <w:p w14:paraId="0E1B231E" w14:textId="77777777" w:rsidR="00BD1307" w:rsidRPr="00BD1307" w:rsidRDefault="00D719AC" w:rsidP="007B7A7A">
      <w:pPr>
        <w:jc w:val="both"/>
        <w:rPr>
          <w:b/>
        </w:rPr>
      </w:pPr>
      <w:r w:rsidRPr="00BD1307">
        <w:rPr>
          <w:b/>
        </w:rPr>
        <w:t>-</w:t>
      </w:r>
      <w:r w:rsidR="00F11A83">
        <w:rPr>
          <w:b/>
        </w:rPr>
        <w:t xml:space="preserve"> </w:t>
      </w:r>
      <w:r w:rsidR="001E3973">
        <w:rPr>
          <w:b/>
        </w:rPr>
        <w:t>diminuer</w:t>
      </w:r>
      <w:r w:rsidR="00E41580">
        <w:rPr>
          <w:b/>
        </w:rPr>
        <w:t xml:space="preserve"> </w:t>
      </w:r>
      <w:r w:rsidRPr="00BD1307">
        <w:rPr>
          <w:b/>
        </w:rPr>
        <w:t xml:space="preserve">l’impact sur la biodiversité : </w:t>
      </w:r>
    </w:p>
    <w:p w14:paraId="421EF3A4" w14:textId="77777777" w:rsidR="001E3973" w:rsidRDefault="006340DA" w:rsidP="007B7A7A">
      <w:pPr>
        <w:pStyle w:val="Paragraphedeliste"/>
        <w:numPr>
          <w:ilvl w:val="0"/>
          <w:numId w:val="4"/>
        </w:numPr>
        <w:jc w:val="both"/>
      </w:pPr>
      <w:r>
        <w:t>Éviter</w:t>
      </w:r>
      <w:r w:rsidR="001E3973">
        <w:t xml:space="preserve"> les zones de vie ou de transit des espèces les plus </w:t>
      </w:r>
      <w:r w:rsidR="00135D7E">
        <w:t>sensibles</w:t>
      </w:r>
    </w:p>
    <w:p w14:paraId="3875A7D4" w14:textId="77777777" w:rsidR="00BD1307" w:rsidRDefault="006340DA" w:rsidP="007B7A7A">
      <w:pPr>
        <w:pStyle w:val="Paragraphedeliste"/>
        <w:numPr>
          <w:ilvl w:val="0"/>
          <w:numId w:val="4"/>
        </w:numPr>
        <w:jc w:val="both"/>
      </w:pPr>
      <w:r>
        <w:t>Sélectionner</w:t>
      </w:r>
      <w:r w:rsidR="00D719AC">
        <w:t xml:space="preserve"> des installations</w:t>
      </w:r>
      <w:r w:rsidR="001E3973">
        <w:t xml:space="preserve"> respectant les écosystèmes,</w:t>
      </w:r>
    </w:p>
    <w:p w14:paraId="14B45446" w14:textId="77777777" w:rsidR="001E3973" w:rsidRDefault="006340DA" w:rsidP="007B7A7A">
      <w:pPr>
        <w:pStyle w:val="Paragraphedeliste"/>
        <w:numPr>
          <w:ilvl w:val="0"/>
          <w:numId w:val="4"/>
        </w:numPr>
        <w:jc w:val="both"/>
      </w:pPr>
      <w:r>
        <w:t>Adapter</w:t>
      </w:r>
      <w:r w:rsidR="001E3973">
        <w:t xml:space="preserve"> les températures de couleur les moins perturbantes</w:t>
      </w:r>
    </w:p>
    <w:p w14:paraId="6511B641" w14:textId="4DC06F8E" w:rsidR="001E3973" w:rsidRDefault="006340DA" w:rsidP="007B7A7A">
      <w:pPr>
        <w:pStyle w:val="Paragraphedeliste"/>
        <w:numPr>
          <w:ilvl w:val="0"/>
          <w:numId w:val="4"/>
        </w:numPr>
        <w:jc w:val="both"/>
      </w:pPr>
      <w:r>
        <w:t>Réduire</w:t>
      </w:r>
      <w:r w:rsidR="001E3973">
        <w:t xml:space="preserve"> les éclairages et les temps de fonctionnement </w:t>
      </w:r>
      <w:proofErr w:type="gramStart"/>
      <w:r w:rsidR="001E3973">
        <w:t>au</w:t>
      </w:r>
      <w:r w:rsidR="000D000F">
        <w:t xml:space="preserve"> </w:t>
      </w:r>
      <w:r w:rsidR="001E3973">
        <w:t>stricte nécessaire</w:t>
      </w:r>
      <w:proofErr w:type="gramEnd"/>
    </w:p>
    <w:p w14:paraId="7389B79F" w14:textId="77777777" w:rsidR="00BD1307" w:rsidRPr="00BD1307" w:rsidRDefault="00D719AC" w:rsidP="007B7A7A">
      <w:pPr>
        <w:jc w:val="both"/>
        <w:rPr>
          <w:b/>
        </w:rPr>
      </w:pPr>
      <w:r w:rsidRPr="00BD1307">
        <w:rPr>
          <w:b/>
        </w:rPr>
        <w:t xml:space="preserve">- la production de déchets : </w:t>
      </w:r>
    </w:p>
    <w:p w14:paraId="05565111" w14:textId="77777777" w:rsidR="00BD1307" w:rsidRDefault="00D719AC" w:rsidP="007B7A7A">
      <w:pPr>
        <w:pStyle w:val="Paragraphedeliste"/>
        <w:numPr>
          <w:ilvl w:val="0"/>
          <w:numId w:val="5"/>
        </w:numPr>
        <w:jc w:val="both"/>
      </w:pPr>
      <w:proofErr w:type="gramStart"/>
      <w:r>
        <w:t>choisir</w:t>
      </w:r>
      <w:proofErr w:type="gramEnd"/>
      <w:r>
        <w:t xml:space="preserve"> des équipements qui pourront être recyclés et éviter</w:t>
      </w:r>
      <w:r w:rsidR="006340DA">
        <w:t xml:space="preserve"> les matières polluantes</w:t>
      </w:r>
      <w:r w:rsidR="00E41580">
        <w:t xml:space="preserve"> </w:t>
      </w:r>
      <w:r w:rsidR="006340DA">
        <w:t>(</w:t>
      </w:r>
      <w:r w:rsidR="00135D7E">
        <w:t>mercure, le</w:t>
      </w:r>
      <w:r>
        <w:t xml:space="preserve"> plomb,</w:t>
      </w:r>
      <w:r w:rsidR="006340DA">
        <w:t>…)</w:t>
      </w:r>
    </w:p>
    <w:p w14:paraId="5B70A7DB" w14:textId="77777777" w:rsidR="006340DA" w:rsidRDefault="006340DA" w:rsidP="007B7A7A">
      <w:pPr>
        <w:pStyle w:val="Paragraphedeliste"/>
        <w:jc w:val="both"/>
      </w:pPr>
    </w:p>
    <w:p w14:paraId="0BE45C9F" w14:textId="77777777" w:rsidR="00BD1307" w:rsidRPr="00ED6519" w:rsidRDefault="00ED6519" w:rsidP="007B7A7A">
      <w:pPr>
        <w:pStyle w:val="Paragraphedeliste"/>
        <w:numPr>
          <w:ilvl w:val="0"/>
          <w:numId w:val="1"/>
        </w:numPr>
        <w:jc w:val="both"/>
        <w:rPr>
          <w:b/>
        </w:rPr>
      </w:pPr>
      <w:r w:rsidRPr="00ED6519">
        <w:rPr>
          <w:b/>
        </w:rPr>
        <w:t>Définir</w:t>
      </w:r>
      <w:r w:rsidR="0048455A">
        <w:rPr>
          <w:b/>
        </w:rPr>
        <w:t xml:space="preserve"> les critères d’</w:t>
      </w:r>
      <w:r w:rsidRPr="00ED6519">
        <w:rPr>
          <w:b/>
        </w:rPr>
        <w:t xml:space="preserve">un </w:t>
      </w:r>
      <w:r w:rsidR="00D719AC" w:rsidRPr="00ED6519">
        <w:rPr>
          <w:b/>
        </w:rPr>
        <w:t>éclairage</w:t>
      </w:r>
      <w:r w:rsidRPr="00ED6519">
        <w:rPr>
          <w:b/>
        </w:rPr>
        <w:t xml:space="preserve"> respectueux de l’environnement </w:t>
      </w:r>
      <w:r w:rsidR="00D719AC" w:rsidRPr="00ED6519">
        <w:rPr>
          <w:b/>
        </w:rPr>
        <w:t xml:space="preserve">: </w:t>
      </w:r>
    </w:p>
    <w:p w14:paraId="52C1EDFE" w14:textId="6A847266" w:rsidR="00BD1307" w:rsidRDefault="00135D7E" w:rsidP="007B7A7A">
      <w:pPr>
        <w:jc w:val="both"/>
      </w:pPr>
      <w:r>
        <w:t>Qualité</w:t>
      </w:r>
      <w:r w:rsidR="00D719AC">
        <w:t>, intensité et durée de l’éclairage, sont le préalable à toute intervention sur les réseaux d’éclairage public, que ce soit pour le renouvellement des équipements d’une commune, d’un quartier ou de nouveaux aménagements.</w:t>
      </w:r>
    </w:p>
    <w:p w14:paraId="7625AEC2" w14:textId="77777777" w:rsidR="000D000F" w:rsidRDefault="000D000F" w:rsidP="007B7A7A">
      <w:pPr>
        <w:jc w:val="both"/>
      </w:pPr>
    </w:p>
    <w:p w14:paraId="74D405E2" w14:textId="77777777" w:rsidR="00A24B74" w:rsidRDefault="000920E4" w:rsidP="007B7A7A">
      <w:pPr>
        <w:jc w:val="both"/>
        <w:rPr>
          <w:b/>
        </w:rPr>
      </w:pPr>
      <w:r>
        <w:rPr>
          <w:b/>
        </w:rPr>
        <w:t>C</w:t>
      </w:r>
      <w:r w:rsidR="00BD1307" w:rsidRPr="00ED6519">
        <w:rPr>
          <w:b/>
        </w:rPr>
        <w:t>hoix des équipements</w:t>
      </w:r>
    </w:p>
    <w:p w14:paraId="04F29C6D" w14:textId="77777777" w:rsidR="006340DA" w:rsidRDefault="00A24B74" w:rsidP="007B7A7A">
      <w:pPr>
        <w:jc w:val="both"/>
      </w:pPr>
      <w:r>
        <w:t>Afin de maîtriser le budget, le choix s’orientera vers le matériel au coût global le plus favorable et en respectant une démarche d’achat responsable.</w:t>
      </w:r>
    </w:p>
    <w:p w14:paraId="6A67B5AC" w14:textId="77777777" w:rsidR="006340DA" w:rsidRDefault="00A24B74" w:rsidP="007B7A7A">
      <w:pPr>
        <w:jc w:val="both"/>
      </w:pPr>
      <w:r>
        <w:t xml:space="preserve"> Le coût d’acquisition du matériel sera pondéré par sa durée de vie et par ses consommations d’électricité, lors de son utilisation. </w:t>
      </w:r>
    </w:p>
    <w:p w14:paraId="27B16A8B" w14:textId="77777777" w:rsidR="00A24B74" w:rsidRDefault="00A24B74" w:rsidP="007B7A7A">
      <w:pPr>
        <w:jc w:val="both"/>
      </w:pPr>
      <w:r>
        <w:t xml:space="preserve">La durée de vie du matériel dépend par exemple de sa résistance aux chocs et de son indice de protection (indice qui classe son niveau de protection aux intrusions de corps solides et liquides). </w:t>
      </w:r>
    </w:p>
    <w:p w14:paraId="5C510EEA" w14:textId="77777777" w:rsidR="00BD1307" w:rsidRDefault="00873BD9" w:rsidP="007B7A7A">
      <w:pPr>
        <w:jc w:val="both"/>
      </w:pPr>
      <w:r>
        <w:t xml:space="preserve">Afin de limiter la </w:t>
      </w:r>
      <w:r w:rsidRPr="00873BD9">
        <w:t>pollution lumineuse</w:t>
      </w:r>
      <w:r>
        <w:t xml:space="preserve"> et</w:t>
      </w:r>
      <w:r w:rsidR="00E41580">
        <w:t xml:space="preserve"> </w:t>
      </w:r>
      <w:r>
        <w:t>toute lumière intrusive (vers les façades, les arbres ou le ciel), de limiter le dérangement des habitants, des espèces nocturnes et de ne pas éblouir les usagers, une attention particulière sera apportée à l’orientation du flux lumineux</w:t>
      </w:r>
      <w:r w:rsidRPr="00873BD9">
        <w:t>, la proportion du flux lumineux qui est émise au-dessus du plan horizontal (= ULOR) doit être inférieur à 3 % en éclairage fonctionnel et inférieur à 15 % en éclairage d’ambiance</w:t>
      </w:r>
      <w:r w:rsidR="00135D7E">
        <w:t>,</w:t>
      </w:r>
    </w:p>
    <w:p w14:paraId="2CB61E98" w14:textId="77777777" w:rsidR="00727BBC" w:rsidRDefault="00D719AC" w:rsidP="007B7A7A">
      <w:pPr>
        <w:pStyle w:val="Paragraphedeliste"/>
        <w:numPr>
          <w:ilvl w:val="1"/>
          <w:numId w:val="6"/>
        </w:numPr>
        <w:ind w:left="426" w:firstLine="0"/>
        <w:jc w:val="both"/>
      </w:pPr>
      <w:r>
        <w:t xml:space="preserve"> </w:t>
      </w:r>
      <w:proofErr w:type="gramStart"/>
      <w:r>
        <w:t>pas</w:t>
      </w:r>
      <w:proofErr w:type="gramEnd"/>
      <w:r>
        <w:t xml:space="preserve"> de </w:t>
      </w:r>
      <w:r w:rsidR="00CB1B51">
        <w:t xml:space="preserve">diffusion de </w:t>
      </w:r>
      <w:r>
        <w:t xml:space="preserve">flux lumineux vers le haut, </w:t>
      </w:r>
    </w:p>
    <w:p w14:paraId="61C08329" w14:textId="77777777" w:rsidR="00BD1307" w:rsidRDefault="00D719AC" w:rsidP="007B7A7A">
      <w:pPr>
        <w:pStyle w:val="Paragraphedeliste"/>
        <w:numPr>
          <w:ilvl w:val="1"/>
          <w:numId w:val="6"/>
        </w:numPr>
        <w:ind w:left="426" w:firstLine="0"/>
        <w:jc w:val="both"/>
      </w:pPr>
      <w:proofErr w:type="gramStart"/>
      <w:r>
        <w:t>des</w:t>
      </w:r>
      <w:proofErr w:type="gramEnd"/>
      <w:r>
        <w:t xml:space="preserve"> réflecteurs </w:t>
      </w:r>
      <w:r w:rsidR="00CB1B51">
        <w:t>à prévoir si nécessaire</w:t>
      </w:r>
      <w:r w:rsidR="00E41580">
        <w:t xml:space="preserve"> </w:t>
      </w:r>
      <w:r>
        <w:t xml:space="preserve">de manière à </w:t>
      </w:r>
      <w:r w:rsidR="00CB1B51">
        <w:t>n’</w:t>
      </w:r>
      <w:r>
        <w:t xml:space="preserve">éclairer uniquement </w:t>
      </w:r>
      <w:r w:rsidR="00CB1B51">
        <w:t>que la surface prévue</w:t>
      </w:r>
    </w:p>
    <w:p w14:paraId="3174A2D9" w14:textId="77777777" w:rsidR="00BD1307" w:rsidRDefault="00D719AC" w:rsidP="007B7A7A">
      <w:pPr>
        <w:pStyle w:val="Paragraphedeliste"/>
        <w:numPr>
          <w:ilvl w:val="1"/>
          <w:numId w:val="6"/>
        </w:numPr>
        <w:ind w:left="709" w:hanging="283"/>
        <w:jc w:val="both"/>
      </w:pPr>
      <w:proofErr w:type="gramStart"/>
      <w:r>
        <w:t>l’installation</w:t>
      </w:r>
      <w:proofErr w:type="gramEnd"/>
      <w:r>
        <w:t xml:space="preserve"> de </w:t>
      </w:r>
      <w:r w:rsidR="00CB1B51">
        <w:t>projecteurs</w:t>
      </w:r>
      <w:r>
        <w:t xml:space="preserve"> encastrés dans le sol sera évitée, ils sont source de déperdition lumineuse et ils entraînent des risques d’éblouissement des piétons. </w:t>
      </w:r>
    </w:p>
    <w:p w14:paraId="62982856" w14:textId="77777777" w:rsidR="00873BD9" w:rsidRDefault="00873BD9" w:rsidP="007B7A7A">
      <w:pPr>
        <w:pStyle w:val="Paragraphedeliste"/>
        <w:ind w:left="709"/>
        <w:jc w:val="both"/>
      </w:pPr>
    </w:p>
    <w:p w14:paraId="02504C5A" w14:textId="77777777" w:rsidR="0048455A" w:rsidRDefault="0048455A" w:rsidP="007B7A7A">
      <w:pPr>
        <w:pStyle w:val="Paragraphedeliste"/>
        <w:numPr>
          <w:ilvl w:val="0"/>
          <w:numId w:val="1"/>
        </w:numPr>
        <w:jc w:val="both"/>
        <w:rPr>
          <w:b/>
        </w:rPr>
      </w:pPr>
      <w:r w:rsidRPr="006340DA">
        <w:rPr>
          <w:b/>
        </w:rPr>
        <w:t xml:space="preserve">Choisir le matériel adapté pour éclairer juste </w:t>
      </w:r>
    </w:p>
    <w:p w14:paraId="5D8DDBC1" w14:textId="08443449" w:rsidR="00F64A1B" w:rsidRDefault="0048455A" w:rsidP="007B7A7A">
      <w:pPr>
        <w:jc w:val="both"/>
      </w:pPr>
      <w:r>
        <w:t>Un point lumineux est composé de plusieurs éléments : m</w:t>
      </w:r>
      <w:r w:rsidR="007B7A7A">
        <w:t>â</w:t>
      </w:r>
      <w:r>
        <w:t>t,</w:t>
      </w:r>
      <w:r w:rsidR="007B7A7A">
        <w:t xml:space="preserve"> </w:t>
      </w:r>
      <w:r w:rsidR="00F64A1B">
        <w:t>le luminaire composé d’un</w:t>
      </w:r>
      <w:r w:rsidR="00E41580">
        <w:t xml:space="preserve"> </w:t>
      </w:r>
      <w:r>
        <w:t xml:space="preserve">corps, </w:t>
      </w:r>
      <w:r w:rsidR="00F64A1B">
        <w:t xml:space="preserve">d’un </w:t>
      </w:r>
      <w:r>
        <w:t xml:space="preserve">système optique, </w:t>
      </w:r>
      <w:r w:rsidR="00F64A1B">
        <w:t xml:space="preserve">d’un </w:t>
      </w:r>
      <w:r>
        <w:t>ballast</w:t>
      </w:r>
      <w:r w:rsidR="00F64A1B">
        <w:t xml:space="preserve"> (si lampe à décharge)</w:t>
      </w:r>
      <w:r>
        <w:t xml:space="preserve">, </w:t>
      </w:r>
      <w:r w:rsidR="00F64A1B">
        <w:t xml:space="preserve">d’une </w:t>
      </w:r>
      <w:r>
        <w:t>lampe</w:t>
      </w:r>
      <w:r w:rsidR="00F64A1B">
        <w:t xml:space="preserve"> ou d’un bloc L</w:t>
      </w:r>
      <w:r w:rsidR="00E5098F">
        <w:t>ED</w:t>
      </w:r>
      <w:r>
        <w:t xml:space="preserve">. </w:t>
      </w:r>
      <w:r w:rsidR="00F51B3B">
        <w:t xml:space="preserve"> </w:t>
      </w:r>
      <w:r>
        <w:t>Pour qu’un point lumineux soit performant, l’ensemble de ses composants doivent avoir un rendement optimum.</w:t>
      </w:r>
    </w:p>
    <w:p w14:paraId="26346AC3" w14:textId="77777777" w:rsidR="00F64A1B" w:rsidRDefault="0048455A" w:rsidP="007B7A7A">
      <w:pPr>
        <w:jc w:val="both"/>
        <w:rPr>
          <w:b/>
        </w:rPr>
      </w:pPr>
      <w:r>
        <w:t xml:space="preserve"> </w:t>
      </w:r>
      <w:r w:rsidR="00F64A1B">
        <w:rPr>
          <w:b/>
        </w:rPr>
        <w:t xml:space="preserve">Les luminaires </w:t>
      </w:r>
    </w:p>
    <w:p w14:paraId="43F077AF" w14:textId="77777777" w:rsidR="00F64A1B" w:rsidRPr="00CB1B51" w:rsidRDefault="00F64A1B" w:rsidP="007B7A7A">
      <w:pPr>
        <w:spacing w:after="0"/>
        <w:jc w:val="both"/>
      </w:pPr>
      <w:r w:rsidRPr="00CB1B51">
        <w:t>Les caractéristiques des luminaires seront adaptées au strict besoin d’éclairage</w:t>
      </w:r>
      <w:r w:rsidR="007B7A7A">
        <w:t> :</w:t>
      </w:r>
      <w:r w:rsidRPr="00CB1B51">
        <w:t xml:space="preserve"> </w:t>
      </w:r>
    </w:p>
    <w:p w14:paraId="7B2C3AEE" w14:textId="77777777" w:rsidR="00F64A1B" w:rsidRPr="00CB1B51" w:rsidRDefault="00F64A1B" w:rsidP="007B7A7A">
      <w:pPr>
        <w:pStyle w:val="Paragraphedeliste"/>
        <w:numPr>
          <w:ilvl w:val="0"/>
          <w:numId w:val="14"/>
        </w:numPr>
        <w:spacing w:after="0"/>
        <w:jc w:val="both"/>
      </w:pPr>
      <w:r w:rsidRPr="00CB1B51">
        <w:t>L’intensité</w:t>
      </w:r>
    </w:p>
    <w:p w14:paraId="6ADDABCD" w14:textId="77777777" w:rsidR="00F64A1B" w:rsidRPr="00CB1B51" w:rsidRDefault="00F64A1B" w:rsidP="007B7A7A">
      <w:pPr>
        <w:pStyle w:val="Paragraphedeliste"/>
        <w:numPr>
          <w:ilvl w:val="0"/>
          <w:numId w:val="14"/>
        </w:numPr>
        <w:spacing w:after="0"/>
        <w:jc w:val="both"/>
      </w:pPr>
      <w:r w:rsidRPr="00CB1B51">
        <w:t>La puissance</w:t>
      </w:r>
    </w:p>
    <w:p w14:paraId="5514D4AD" w14:textId="77777777" w:rsidR="00F64A1B" w:rsidRPr="00CB1B51" w:rsidRDefault="00F64A1B" w:rsidP="007B7A7A">
      <w:pPr>
        <w:pStyle w:val="Paragraphedeliste"/>
        <w:numPr>
          <w:ilvl w:val="0"/>
          <w:numId w:val="14"/>
        </w:numPr>
        <w:spacing w:after="0"/>
        <w:jc w:val="both"/>
      </w:pPr>
      <w:r w:rsidRPr="00CB1B51">
        <w:t xml:space="preserve">La photométrie </w:t>
      </w:r>
    </w:p>
    <w:p w14:paraId="1B2FDEC5" w14:textId="77777777" w:rsidR="00BD1307" w:rsidRPr="00BD1307" w:rsidRDefault="00873BD9" w:rsidP="007B7A7A">
      <w:pPr>
        <w:spacing w:before="200"/>
        <w:jc w:val="both"/>
        <w:rPr>
          <w:b/>
        </w:rPr>
      </w:pPr>
      <w:r>
        <w:rPr>
          <w:b/>
        </w:rPr>
        <w:t xml:space="preserve">La hauteur des </w:t>
      </w:r>
      <w:r w:rsidR="0048455A">
        <w:rPr>
          <w:b/>
        </w:rPr>
        <w:t>m</w:t>
      </w:r>
      <w:r w:rsidR="00D719AC" w:rsidRPr="00BD1307">
        <w:rPr>
          <w:b/>
        </w:rPr>
        <w:t xml:space="preserve">âts </w:t>
      </w:r>
    </w:p>
    <w:p w14:paraId="1681F0F4" w14:textId="21C74B5F" w:rsidR="00BD1307" w:rsidRDefault="00D719AC" w:rsidP="007B7A7A">
      <w:pPr>
        <w:jc w:val="both"/>
      </w:pPr>
      <w:r>
        <w:t>La hauteur des mâts doit être ajustée en fonction de l</w:t>
      </w:r>
      <w:r w:rsidR="00873BD9">
        <w:t>’utilisation du secteur éclairé.</w:t>
      </w:r>
      <w:r w:rsidR="00F51B3B">
        <w:t xml:space="preserve"> </w:t>
      </w:r>
      <w:r w:rsidR="00873BD9">
        <w:t>Plus la hauteur des mâts est importante, plus les inter</w:t>
      </w:r>
      <w:r w:rsidR="00B11129">
        <w:t>-</w:t>
      </w:r>
      <w:r w:rsidR="00873BD9">
        <w:t>distances peuvent être</w:t>
      </w:r>
      <w:r w:rsidR="00E41580">
        <w:t xml:space="preserve"> </w:t>
      </w:r>
      <w:r w:rsidR="00873BD9">
        <w:t xml:space="preserve">grandes, diminuant ainsi le nombre de points </w:t>
      </w:r>
      <w:r w:rsidR="00135D7E">
        <w:t>lumineux.</w:t>
      </w:r>
      <w:r w:rsidR="00F51B3B">
        <w:t xml:space="preserve"> </w:t>
      </w:r>
      <w:r>
        <w:t xml:space="preserve">Dans certains cas, des poteaux existants serviront de mâts. </w:t>
      </w:r>
    </w:p>
    <w:p w14:paraId="12057BC3" w14:textId="77777777" w:rsidR="00BD1307" w:rsidRPr="00BD1307" w:rsidRDefault="004278BC" w:rsidP="007B7A7A">
      <w:pPr>
        <w:jc w:val="both"/>
        <w:rPr>
          <w:b/>
        </w:rPr>
      </w:pPr>
      <w:r>
        <w:rPr>
          <w:b/>
        </w:rPr>
        <w:t>S’assurer de la</w:t>
      </w:r>
      <w:r w:rsidR="00873BD9">
        <w:rPr>
          <w:b/>
        </w:rPr>
        <w:t xml:space="preserve"> durabilité du </w:t>
      </w:r>
      <w:r w:rsidR="0048455A">
        <w:rPr>
          <w:b/>
        </w:rPr>
        <w:t>c</w:t>
      </w:r>
      <w:r w:rsidR="00D719AC" w:rsidRPr="00BD1307">
        <w:rPr>
          <w:b/>
        </w:rPr>
        <w:t xml:space="preserve">orps du point lumineux </w:t>
      </w:r>
    </w:p>
    <w:p w14:paraId="7769A760" w14:textId="6DE3266A" w:rsidR="00BD1307" w:rsidRDefault="00D719AC" w:rsidP="007B7A7A">
      <w:pPr>
        <w:jc w:val="both"/>
      </w:pPr>
      <w:r>
        <w:t xml:space="preserve">Le corps du point lumineux intègre l’appareillage, la connectique, </w:t>
      </w:r>
      <w:r w:rsidR="00E5098F">
        <w:t>une lampe ou bloc LED</w:t>
      </w:r>
      <w:r>
        <w:t>, le système optique. Il doit présenter une bonne résistance aux chocs mécaniques</w:t>
      </w:r>
      <w:r w:rsidR="0048455A">
        <w:t>,</w:t>
      </w:r>
      <w:r w:rsidR="00E41580">
        <w:t xml:space="preserve"> </w:t>
      </w:r>
      <w:r w:rsidR="0048455A">
        <w:t>d’étanchéité</w:t>
      </w:r>
      <w:r w:rsidR="00E41580">
        <w:t xml:space="preserve"> </w:t>
      </w:r>
      <w:r w:rsidR="0048455A">
        <w:t xml:space="preserve">et </w:t>
      </w:r>
      <w:r>
        <w:t xml:space="preserve">de rigidité. </w:t>
      </w:r>
      <w:r w:rsidR="00F51B3B">
        <w:t xml:space="preserve"> </w:t>
      </w:r>
      <w:r>
        <w:t>C’est un élément qui, avec le système optique détermine l’indice de protection (IP) du point lumineux.</w:t>
      </w:r>
    </w:p>
    <w:p w14:paraId="6033C38C" w14:textId="77777777" w:rsidR="00E5098F" w:rsidRDefault="00E5098F" w:rsidP="007B7A7A">
      <w:pPr>
        <w:jc w:val="both"/>
      </w:pPr>
    </w:p>
    <w:p w14:paraId="2B470F47" w14:textId="77777777" w:rsidR="00BD1307" w:rsidRDefault="00873BD9" w:rsidP="007B7A7A">
      <w:pPr>
        <w:jc w:val="both"/>
        <w:rPr>
          <w:b/>
        </w:rPr>
      </w:pPr>
      <w:r>
        <w:rPr>
          <w:b/>
        </w:rPr>
        <w:t xml:space="preserve">Utiliser des </w:t>
      </w:r>
      <w:r w:rsidR="0048455A">
        <w:rPr>
          <w:b/>
        </w:rPr>
        <w:t>s</w:t>
      </w:r>
      <w:r w:rsidR="00D719AC" w:rsidRPr="0048455A">
        <w:rPr>
          <w:b/>
        </w:rPr>
        <w:t>ystèmes optiques</w:t>
      </w:r>
      <w:r w:rsidR="00BD1307" w:rsidRPr="0048455A">
        <w:rPr>
          <w:b/>
        </w:rPr>
        <w:t xml:space="preserve"> </w:t>
      </w:r>
      <w:r w:rsidR="004278BC">
        <w:rPr>
          <w:b/>
        </w:rPr>
        <w:t>performants</w:t>
      </w:r>
    </w:p>
    <w:p w14:paraId="6021E4F1" w14:textId="1288B653" w:rsidR="00BD1307" w:rsidRDefault="00D719AC" w:rsidP="007B7A7A">
      <w:pPr>
        <w:jc w:val="both"/>
      </w:pPr>
      <w:r>
        <w:t>Les systèmes optiques</w:t>
      </w:r>
      <w:r w:rsidR="00E41580">
        <w:t xml:space="preserve"> </w:t>
      </w:r>
      <w:r>
        <w:t>ont pour rôle de répartir</w:t>
      </w:r>
      <w:r w:rsidR="00F64A1B">
        <w:t xml:space="preserve"> et d’orienter précisément</w:t>
      </w:r>
      <w:r w:rsidR="00E41580">
        <w:t xml:space="preserve"> </w:t>
      </w:r>
      <w:r>
        <w:t>le flux lumineux émis par l</w:t>
      </w:r>
      <w:r w:rsidR="005642C2">
        <w:t>e plateau LED.</w:t>
      </w:r>
      <w:r w:rsidR="00E44A74">
        <w:t xml:space="preserve"> </w:t>
      </w:r>
      <w:r>
        <w:t>Le choix s’orientera vers le meilleur rendement énergétique, c’est-à-dire assurant le meilleur éclairage avec la plus faible puissance possible.</w:t>
      </w:r>
    </w:p>
    <w:p w14:paraId="0F58DCB4" w14:textId="77777777" w:rsidR="00BD1307" w:rsidRPr="0048455A" w:rsidRDefault="0048455A" w:rsidP="007B7A7A">
      <w:pPr>
        <w:jc w:val="both"/>
        <w:rPr>
          <w:b/>
        </w:rPr>
      </w:pPr>
      <w:r>
        <w:rPr>
          <w:b/>
        </w:rPr>
        <w:t>Optimiser</w:t>
      </w:r>
      <w:r w:rsidR="00E41580">
        <w:rPr>
          <w:b/>
        </w:rPr>
        <w:t xml:space="preserve"> </w:t>
      </w:r>
      <w:r>
        <w:rPr>
          <w:b/>
        </w:rPr>
        <w:t>les temps d</w:t>
      </w:r>
      <w:r w:rsidR="00D719AC" w:rsidRPr="0048455A">
        <w:rPr>
          <w:b/>
        </w:rPr>
        <w:t>’allumage</w:t>
      </w:r>
    </w:p>
    <w:p w14:paraId="5F178F20" w14:textId="77777777" w:rsidR="00BD1307" w:rsidRDefault="00D719AC" w:rsidP="007B7A7A">
      <w:pPr>
        <w:jc w:val="both"/>
      </w:pPr>
      <w:r>
        <w:t>Afin d’éclairer au plus juste, des équipements pourront être installés afin de maîtriser au mieux les durées d’éclairement :</w:t>
      </w:r>
    </w:p>
    <w:p w14:paraId="25DA9F22" w14:textId="77777777" w:rsidR="00873BD9" w:rsidRDefault="00D719AC" w:rsidP="007B7A7A">
      <w:pPr>
        <w:jc w:val="both"/>
      </w:pPr>
      <w:r>
        <w:t xml:space="preserve"> - l’allumage et l’extinction des points lumineux gagnent à être commandés par des horloges astronomiques. </w:t>
      </w:r>
    </w:p>
    <w:p w14:paraId="4F17B364" w14:textId="77777777" w:rsidR="00BD1307" w:rsidRDefault="00D719AC" w:rsidP="007B7A7A">
      <w:pPr>
        <w:jc w:val="both"/>
      </w:pPr>
      <w:r>
        <w:t>Automatisées, elles évitent de fastidieux déplacements, des réglages, et permettent de limiter l’usage de l’éclairage public aux strictes périodes d’obscurité. Leur installation sera systématique lors de nouveaux aménagements et sera étudiée lors de rénovation.</w:t>
      </w:r>
    </w:p>
    <w:p w14:paraId="5B49ED93" w14:textId="77777777" w:rsidR="00BD1307" w:rsidRDefault="00D719AC" w:rsidP="007B7A7A">
      <w:pPr>
        <w:jc w:val="both"/>
      </w:pPr>
      <w:r>
        <w:t xml:space="preserve"> - pour certains usages, des dispositifs d’allumage à la demande (par détecteurs de présence, minuteries, etc.) peuvent être pertinents. </w:t>
      </w:r>
    </w:p>
    <w:p w14:paraId="3E2C0FF9" w14:textId="77777777" w:rsidR="0023492E" w:rsidRDefault="0023492E" w:rsidP="007B7A7A">
      <w:pPr>
        <w:jc w:val="both"/>
      </w:pPr>
      <w:r>
        <w:t>Pour conclure, nous espérons que cette charte inédite servira de modèle pour une extension à l’ensemble des collectivités et des territoires motivés pour contribuer à la transition énergétique et écologique.</w:t>
      </w:r>
    </w:p>
    <w:p w14:paraId="3B6D88B1" w14:textId="77777777" w:rsidR="0023492E" w:rsidRPr="0023492E" w:rsidRDefault="0023492E" w:rsidP="007B7A7A">
      <w:pPr>
        <w:jc w:val="both"/>
        <w:rPr>
          <w:b/>
        </w:rPr>
      </w:pPr>
      <w:r w:rsidRPr="0023492E">
        <w:rPr>
          <w:b/>
        </w:rPr>
        <w:t xml:space="preserve">Liste des annexes </w:t>
      </w:r>
    </w:p>
    <w:p w14:paraId="4E16699D" w14:textId="39DD1DEF" w:rsidR="0023492E" w:rsidRDefault="007875DB" w:rsidP="007B7A7A">
      <w:pPr>
        <w:jc w:val="both"/>
      </w:pPr>
      <w:r>
        <w:t>1</w:t>
      </w:r>
      <w:r w:rsidR="0023492E">
        <w:t>/ La fiche interlocuteur du SDE22</w:t>
      </w:r>
    </w:p>
    <w:p w14:paraId="4CDE8679" w14:textId="77777777" w:rsidR="0057322D" w:rsidRDefault="0057322D">
      <w:r>
        <w:br w:type="page"/>
      </w:r>
    </w:p>
    <w:p w14:paraId="4AE37586" w14:textId="14599948" w:rsidR="002958E9" w:rsidRDefault="007875DB" w:rsidP="008361D7">
      <w:pPr>
        <w:jc w:val="right"/>
        <w:rPr>
          <w:noProof/>
          <w:lang w:eastAsia="fr-FR"/>
        </w:rPr>
      </w:pPr>
      <w:r>
        <w:rPr>
          <w:noProof/>
          <w:sz w:val="36"/>
          <w:szCs w:val="36"/>
          <w:lang w:eastAsia="fr-FR"/>
        </w:rPr>
        <mc:AlternateContent>
          <mc:Choice Requires="wps">
            <w:drawing>
              <wp:anchor distT="0" distB="0" distL="114300" distR="114300" simplePos="0" relativeHeight="251670528" behindDoc="0" locked="0" layoutInCell="1" allowOverlap="1" wp14:anchorId="148DA3B2" wp14:editId="3AD3FFA2">
                <wp:simplePos x="0" y="0"/>
                <wp:positionH relativeFrom="column">
                  <wp:posOffset>2613025</wp:posOffset>
                </wp:positionH>
                <wp:positionV relativeFrom="paragraph">
                  <wp:posOffset>284480</wp:posOffset>
                </wp:positionV>
                <wp:extent cx="3440430" cy="563880"/>
                <wp:effectExtent l="0" t="0" r="26670" b="266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563880"/>
                        </a:xfrm>
                        <a:prstGeom prst="rect">
                          <a:avLst/>
                        </a:prstGeom>
                        <a:solidFill>
                          <a:srgbClr val="FFFFFF"/>
                        </a:solidFill>
                        <a:ln w="9525">
                          <a:solidFill>
                            <a:schemeClr val="bg1">
                              <a:lumMod val="100000"/>
                              <a:lumOff val="0"/>
                            </a:schemeClr>
                          </a:solidFill>
                          <a:miter lim="800000"/>
                          <a:headEnd/>
                          <a:tailEnd/>
                        </a:ln>
                      </wps:spPr>
                      <wps:txbx>
                        <w:txbxContent>
                          <w:p w14:paraId="16CBF1DE" w14:textId="5FD56B39" w:rsidR="007875DB" w:rsidRPr="008906A1" w:rsidRDefault="007875DB" w:rsidP="007875DB">
                            <w:pPr>
                              <w:jc w:val="center"/>
                              <w:rPr>
                                <w:sz w:val="36"/>
                                <w:szCs w:val="36"/>
                              </w:rPr>
                            </w:pPr>
                            <w:r w:rsidRPr="0028706E">
                              <w:rPr>
                                <w:sz w:val="36"/>
                                <w:szCs w:val="36"/>
                                <w:highlight w:val="yellow"/>
                              </w:rPr>
                              <w:t>Logo EPCI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A3B2" id="_x0000_s1028" type="#_x0000_t202" style="position:absolute;left:0;text-align:left;margin-left:205.75pt;margin-top:22.4pt;width:270.9pt;height:4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" strokecolor="white [3212]">
                <v:textbox>
                  <w:txbxContent>
                    <w:p w14:paraId="16CBF1DE" w14:textId="5FD56B39" w:rsidR="007875DB" w:rsidRPr="008906A1" w:rsidRDefault="007875DB" w:rsidP="007875DB">
                      <w:pPr>
                        <w:jc w:val="center"/>
                        <w:rPr>
                          <w:sz w:val="36"/>
                          <w:szCs w:val="36"/>
                        </w:rPr>
                      </w:pPr>
                      <w:r w:rsidRPr="0028706E">
                        <w:rPr>
                          <w:sz w:val="36"/>
                          <w:szCs w:val="36"/>
                          <w:highlight w:val="yellow"/>
                        </w:rPr>
                        <w:t>Logo EPCI</w:t>
                      </w:r>
                    </w:p>
                  </w:txbxContent>
                </v:textbox>
              </v:shape>
            </w:pict>
          </mc:Fallback>
        </mc:AlternateContent>
      </w:r>
      <w:r w:rsidR="00710C5D">
        <w:rPr>
          <w:noProof/>
          <w:lang w:eastAsia="fr-FR"/>
        </w:rPr>
        <mc:AlternateContent>
          <mc:Choice Requires="wps">
            <w:drawing>
              <wp:anchor distT="0" distB="0" distL="114300" distR="114300" simplePos="0" relativeHeight="251668480" behindDoc="0" locked="0" layoutInCell="1" allowOverlap="1" wp14:anchorId="692E6F94" wp14:editId="463E2E81">
                <wp:simplePos x="0" y="0"/>
                <wp:positionH relativeFrom="column">
                  <wp:posOffset>-449580</wp:posOffset>
                </wp:positionH>
                <wp:positionV relativeFrom="paragraph">
                  <wp:posOffset>112395</wp:posOffset>
                </wp:positionV>
                <wp:extent cx="2359660" cy="1188720"/>
                <wp:effectExtent l="0" t="0" r="508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1188720"/>
                        </a:xfrm>
                        <a:prstGeom prst="rect">
                          <a:avLst/>
                        </a:prstGeom>
                        <a:solidFill>
                          <a:srgbClr val="FFFFFF"/>
                        </a:solidFill>
                        <a:ln w="9525">
                          <a:solidFill>
                            <a:schemeClr val="bg1">
                              <a:lumMod val="100000"/>
                              <a:lumOff val="0"/>
                            </a:schemeClr>
                          </a:solidFill>
                          <a:miter lim="800000"/>
                          <a:headEnd/>
                          <a:tailEnd/>
                        </a:ln>
                      </wps:spPr>
                      <wps:txbx>
                        <w:txbxContent>
                          <w:p w14:paraId="0D9FD365" w14:textId="77777777" w:rsidR="0054392A" w:rsidRDefault="0054392A">
                            <w:r w:rsidRPr="0023492E">
                              <w:rPr>
                                <w:noProof/>
                                <w:lang w:eastAsia="fr-FR"/>
                              </w:rPr>
                              <w:drawing>
                                <wp:inline distT="0" distB="0" distL="0" distR="0" wp14:anchorId="10E37BD5" wp14:editId="02125667">
                                  <wp:extent cx="2051313" cy="935415"/>
                                  <wp:effectExtent l="19050" t="0" r="6087"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48074" cy="93393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92E6F94" id="Text Box 12" o:spid="_x0000_s1029" type="#_x0000_t202" style="position:absolute;left:0;text-align:left;margin-left:-35.4pt;margin-top:8.85pt;width:185.8pt;height:93.6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" strokecolor="white [3212]">
                <v:textbox style="mso-fit-shape-to-text:t">
                  <w:txbxContent>
                    <w:p w14:paraId="0D9FD365" w14:textId="77777777" w:rsidR="0054392A" w:rsidRDefault="0054392A">
                      <w:r w:rsidRPr="0023492E">
                        <w:rPr>
                          <w:noProof/>
                          <w:lang w:eastAsia="fr-FR"/>
                        </w:rPr>
                        <w:drawing>
                          <wp:inline distT="0" distB="0" distL="0" distR="0" wp14:anchorId="10E37BD5" wp14:editId="02125667">
                            <wp:extent cx="2051313" cy="935415"/>
                            <wp:effectExtent l="19050" t="0" r="6087"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48074" cy="933938"/>
                                    </a:xfrm>
                                    <a:prstGeom prst="rect">
                                      <a:avLst/>
                                    </a:prstGeom>
                                    <a:noFill/>
                                    <a:ln w="9525">
                                      <a:noFill/>
                                      <a:miter lim="800000"/>
                                      <a:headEnd/>
                                      <a:tailEnd/>
                                    </a:ln>
                                  </pic:spPr>
                                </pic:pic>
                              </a:graphicData>
                            </a:graphic>
                          </wp:inline>
                        </w:drawing>
                      </w:r>
                    </w:p>
                  </w:txbxContent>
                </v:textbox>
              </v:shape>
            </w:pict>
          </mc:Fallback>
        </mc:AlternateContent>
      </w:r>
    </w:p>
    <w:p w14:paraId="3B2A62A3" w14:textId="42BAD3BC" w:rsidR="007875DB" w:rsidRDefault="007875DB" w:rsidP="008361D7">
      <w:pPr>
        <w:jc w:val="right"/>
        <w:rPr>
          <w:noProof/>
          <w:lang w:eastAsia="fr-FR"/>
        </w:rPr>
      </w:pPr>
    </w:p>
    <w:p w14:paraId="13207CA2" w14:textId="049968D8" w:rsidR="002958E9" w:rsidRDefault="002958E9" w:rsidP="008361D7">
      <w:pPr>
        <w:jc w:val="right"/>
      </w:pPr>
    </w:p>
    <w:p w14:paraId="605A1C5B" w14:textId="32060BBD" w:rsidR="008361D7" w:rsidRDefault="008361D7" w:rsidP="001D0FA5"/>
    <w:p w14:paraId="7BFEB02A" w14:textId="77777777" w:rsidR="0023492E" w:rsidRDefault="0023492E" w:rsidP="0023492E">
      <w:pPr>
        <w:jc w:val="center"/>
        <w:rPr>
          <w:rFonts w:ascii="Arial Black" w:hAnsi="Arial Black"/>
          <w:b/>
          <w:sz w:val="40"/>
          <w:szCs w:val="40"/>
        </w:rPr>
      </w:pPr>
      <w:r w:rsidRPr="00D317B6">
        <w:rPr>
          <w:rFonts w:ascii="Arial Black" w:hAnsi="Arial Black"/>
          <w:b/>
          <w:sz w:val="40"/>
          <w:szCs w:val="40"/>
        </w:rPr>
        <w:t>CHARTE</w:t>
      </w:r>
      <w:r>
        <w:rPr>
          <w:rFonts w:ascii="Arial Black" w:hAnsi="Arial Black"/>
          <w:b/>
          <w:sz w:val="40"/>
          <w:szCs w:val="40"/>
        </w:rPr>
        <w:t xml:space="preserve"> </w:t>
      </w:r>
    </w:p>
    <w:p w14:paraId="74B924AE" w14:textId="77777777" w:rsidR="0023492E" w:rsidRPr="00D317B6" w:rsidRDefault="0023492E" w:rsidP="0023492E">
      <w:pPr>
        <w:jc w:val="center"/>
        <w:rPr>
          <w:rFonts w:ascii="Arial Black" w:hAnsi="Arial Black"/>
          <w:b/>
          <w:sz w:val="40"/>
          <w:szCs w:val="40"/>
        </w:rPr>
      </w:pPr>
      <w:r w:rsidRPr="00D317B6">
        <w:rPr>
          <w:rFonts w:ascii="Arial Black" w:hAnsi="Arial Black"/>
          <w:b/>
          <w:sz w:val="40"/>
          <w:szCs w:val="40"/>
        </w:rPr>
        <w:t>ECLAIRAGE PUBLIC ET BIODIVERSITE</w:t>
      </w:r>
    </w:p>
    <w:p w14:paraId="7DC116ED" w14:textId="77777777" w:rsidR="008361D7" w:rsidRDefault="008361D7" w:rsidP="001D0FA5"/>
    <w:p w14:paraId="73997BB4" w14:textId="77777777" w:rsidR="008361D7" w:rsidRDefault="008361D7" w:rsidP="001D0FA5"/>
    <w:p w14:paraId="622BA119" w14:textId="1D003CFD" w:rsidR="001D0FA5" w:rsidRDefault="00B11129" w:rsidP="001D0FA5">
      <w:r>
        <w:t xml:space="preserve">Le : </w:t>
      </w:r>
      <w:proofErr w:type="gramStart"/>
      <w:r>
        <w:t xml:space="preserve"> ..</w:t>
      </w:r>
      <w:proofErr w:type="gramEnd"/>
      <w:r w:rsidR="002958E9">
        <w:t xml:space="preserve">  /  ..  /….. </w:t>
      </w:r>
    </w:p>
    <w:p w14:paraId="3ED02DE6" w14:textId="682CC0A3" w:rsidR="001D0FA5" w:rsidRDefault="00710C5D" w:rsidP="001D0FA5">
      <w:r>
        <w:rPr>
          <w:noProof/>
          <w:lang w:eastAsia="fr-FR"/>
        </w:rPr>
        <mc:AlternateContent>
          <mc:Choice Requires="wps">
            <w:drawing>
              <wp:anchor distT="0" distB="0" distL="114300" distR="114300" simplePos="0" relativeHeight="251662336" behindDoc="0" locked="0" layoutInCell="1" allowOverlap="1" wp14:anchorId="2709B917" wp14:editId="772882BF">
                <wp:simplePos x="0" y="0"/>
                <wp:positionH relativeFrom="column">
                  <wp:posOffset>-35560</wp:posOffset>
                </wp:positionH>
                <wp:positionV relativeFrom="paragraph">
                  <wp:posOffset>288925</wp:posOffset>
                </wp:positionV>
                <wp:extent cx="2355215" cy="1393190"/>
                <wp:effectExtent l="0" t="0" r="508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1393190"/>
                        </a:xfrm>
                        <a:prstGeom prst="rect">
                          <a:avLst/>
                        </a:prstGeom>
                        <a:solidFill>
                          <a:srgbClr val="FFFFFF"/>
                        </a:solidFill>
                        <a:ln w="9525">
                          <a:solidFill>
                            <a:schemeClr val="bg1">
                              <a:lumMod val="100000"/>
                              <a:lumOff val="0"/>
                            </a:schemeClr>
                          </a:solidFill>
                          <a:miter lim="800000"/>
                          <a:headEnd/>
                          <a:tailEnd/>
                        </a:ln>
                      </wps:spPr>
                      <wps:txbx>
                        <w:txbxContent>
                          <w:p w14:paraId="3465AA3A" w14:textId="77777777" w:rsidR="0054392A" w:rsidRDefault="0054392A" w:rsidP="000B6D77">
                            <w:r>
                              <w:t xml:space="preserve">Le SDE22 </w:t>
                            </w:r>
                          </w:p>
                          <w:p w14:paraId="3B4030E3" w14:textId="77777777" w:rsidR="0054392A" w:rsidRDefault="0054392A" w:rsidP="000B6D77">
                            <w:r>
                              <w:t xml:space="preserve">Représenté par : </w:t>
                            </w:r>
                            <w:proofErr w:type="spellStart"/>
                            <w:r>
                              <w:t>Dominique.RAMARD</w:t>
                            </w:r>
                            <w:proofErr w:type="spellEnd"/>
                          </w:p>
                          <w:p w14:paraId="28A048B0" w14:textId="77777777" w:rsidR="0054392A" w:rsidRDefault="0054392A" w:rsidP="000B6D77">
                            <w:r>
                              <w:t>Signature</w:t>
                            </w:r>
                          </w:p>
                          <w:p w14:paraId="281141B6" w14:textId="77777777" w:rsidR="0054392A" w:rsidRDefault="0054392A"/>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09B917" id="Text Box 4" o:spid="_x0000_s1030" type="#_x0000_t202" style="position:absolute;margin-left:-2.8pt;margin-top:22.75pt;width:185.45pt;height:109.7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" strokecolor="white [3212]">
                <v:textbox style="mso-fit-shape-to-text:t">
                  <w:txbxContent>
                    <w:p w14:paraId="3465AA3A" w14:textId="77777777" w:rsidR="0054392A" w:rsidRDefault="0054392A" w:rsidP="000B6D77">
                      <w:r>
                        <w:t xml:space="preserve">Le SDE22 </w:t>
                      </w:r>
                    </w:p>
                    <w:p w14:paraId="3B4030E3" w14:textId="77777777" w:rsidR="0054392A" w:rsidRDefault="0054392A" w:rsidP="000B6D77">
                      <w:r>
                        <w:t>Représenté par : Dominique.RAMARD</w:t>
                      </w:r>
                    </w:p>
                    <w:p w14:paraId="28A048B0" w14:textId="77777777" w:rsidR="0054392A" w:rsidRDefault="0054392A" w:rsidP="000B6D77">
                      <w:r>
                        <w:t>Signature</w:t>
                      </w:r>
                    </w:p>
                    <w:p w14:paraId="281141B6" w14:textId="77777777" w:rsidR="0054392A" w:rsidRDefault="0054392A"/>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3B0E6000" wp14:editId="4E4EA42C">
                <wp:simplePos x="0" y="0"/>
                <wp:positionH relativeFrom="column">
                  <wp:posOffset>3022600</wp:posOffset>
                </wp:positionH>
                <wp:positionV relativeFrom="paragraph">
                  <wp:posOffset>281940</wp:posOffset>
                </wp:positionV>
                <wp:extent cx="3024505" cy="1393190"/>
                <wp:effectExtent l="0" t="0" r="444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1393190"/>
                        </a:xfrm>
                        <a:prstGeom prst="rect">
                          <a:avLst/>
                        </a:prstGeom>
                        <a:solidFill>
                          <a:srgbClr val="FFFFFF"/>
                        </a:solidFill>
                        <a:ln w="9525">
                          <a:solidFill>
                            <a:schemeClr val="bg1">
                              <a:lumMod val="100000"/>
                              <a:lumOff val="0"/>
                            </a:schemeClr>
                          </a:solidFill>
                          <a:miter lim="800000"/>
                          <a:headEnd/>
                          <a:tailEnd/>
                        </a:ln>
                      </wps:spPr>
                      <wps:txbx>
                        <w:txbxContent>
                          <w:p w14:paraId="196A33EB" w14:textId="2F3314A4" w:rsidR="0054392A" w:rsidRDefault="0028706E" w:rsidP="000B6D77">
                            <w:r w:rsidRPr="0028706E">
                              <w:rPr>
                                <w:highlight w:val="yellow"/>
                              </w:rPr>
                              <w:t>Dénomination de l’EPCI</w:t>
                            </w:r>
                          </w:p>
                          <w:p w14:paraId="1A5685B5" w14:textId="55ABA919" w:rsidR="0054392A" w:rsidRDefault="0054392A" w:rsidP="000B6D77">
                            <w:r>
                              <w:t xml:space="preserve">Représentée par : </w:t>
                            </w:r>
                            <w:r w:rsidR="007875DB" w:rsidRPr="007875DB">
                              <w:rPr>
                                <w:highlight w:val="yellow"/>
                              </w:rPr>
                              <w:t>……………</w:t>
                            </w:r>
                            <w:proofErr w:type="gramStart"/>
                            <w:r w:rsidR="007875DB" w:rsidRPr="007875DB">
                              <w:rPr>
                                <w:highlight w:val="yellow"/>
                              </w:rPr>
                              <w:t>…….</w:t>
                            </w:r>
                            <w:proofErr w:type="gramEnd"/>
                            <w:r w:rsidR="007875DB" w:rsidRPr="007875DB">
                              <w:rPr>
                                <w:highlight w:val="yellow"/>
                              </w:rPr>
                              <w:t>.</w:t>
                            </w:r>
                          </w:p>
                          <w:p w14:paraId="0454213D" w14:textId="77777777" w:rsidR="0054392A" w:rsidRDefault="0054392A" w:rsidP="000B6D77">
                            <w:r>
                              <w:t>Signature</w:t>
                            </w:r>
                          </w:p>
                          <w:p w14:paraId="2A8BC248" w14:textId="77777777" w:rsidR="0054392A" w:rsidRDefault="0054392A" w:rsidP="000B6D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0E6000" id="Text Box 7" o:spid="_x0000_s1031" type="#_x0000_t202" style="position:absolute;margin-left:238pt;margin-top:22.2pt;width:238.15pt;height:109.7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" strokecolor="white [3212]">
                <v:textbox style="mso-fit-shape-to-text:t">
                  <w:txbxContent>
                    <w:p w14:paraId="196A33EB" w14:textId="2F3314A4" w:rsidR="0054392A" w:rsidRDefault="0028706E" w:rsidP="000B6D77">
                      <w:r w:rsidRPr="0028706E">
                        <w:rPr>
                          <w:highlight w:val="yellow"/>
                        </w:rPr>
                        <w:t>Dénomination de l’EPCI</w:t>
                      </w:r>
                    </w:p>
                    <w:p w14:paraId="1A5685B5" w14:textId="55ABA919" w:rsidR="0054392A" w:rsidRDefault="0054392A" w:rsidP="000B6D77">
                      <w:r>
                        <w:t xml:space="preserve">Représentée par : </w:t>
                      </w:r>
                      <w:r w:rsidR="007875DB" w:rsidRPr="007875DB">
                        <w:rPr>
                          <w:highlight w:val="yellow"/>
                        </w:rPr>
                        <w:t>…………………..</w:t>
                      </w:r>
                    </w:p>
                    <w:p w14:paraId="0454213D" w14:textId="77777777" w:rsidR="0054392A" w:rsidRDefault="0054392A" w:rsidP="000B6D77">
                      <w:r>
                        <w:t>Signature</w:t>
                      </w:r>
                    </w:p>
                    <w:p w14:paraId="2A8BC248" w14:textId="77777777" w:rsidR="0054392A" w:rsidRDefault="0054392A" w:rsidP="000B6D77"/>
                  </w:txbxContent>
                </v:textbox>
              </v:shape>
            </w:pict>
          </mc:Fallback>
        </mc:AlternateContent>
      </w:r>
    </w:p>
    <w:p w14:paraId="537DA705" w14:textId="77777777" w:rsidR="000B6D77" w:rsidRDefault="000B6D77" w:rsidP="000B6D77"/>
    <w:p w14:paraId="167D5C30" w14:textId="77777777" w:rsidR="001D0FA5" w:rsidRDefault="001D0FA5" w:rsidP="008B183A"/>
    <w:p w14:paraId="62464A18" w14:textId="77777777" w:rsidR="00F64A1B" w:rsidRDefault="00F64A1B" w:rsidP="008B183A"/>
    <w:p w14:paraId="3D955E73" w14:textId="77777777" w:rsidR="000B6D77" w:rsidRDefault="000B6D77" w:rsidP="008B183A"/>
    <w:p w14:paraId="2655328D" w14:textId="77777777" w:rsidR="000B6D77" w:rsidRDefault="000B6D77" w:rsidP="008B183A"/>
    <w:p w14:paraId="2D811DB8" w14:textId="77777777" w:rsidR="0057322D" w:rsidRDefault="0057322D" w:rsidP="008B183A"/>
    <w:p w14:paraId="4D5DF528" w14:textId="77777777" w:rsidR="0057322D" w:rsidRDefault="0057322D" w:rsidP="008B183A"/>
    <w:p w14:paraId="2892ED27" w14:textId="77777777" w:rsidR="0057322D" w:rsidRDefault="0057322D" w:rsidP="008B183A"/>
    <w:p w14:paraId="27A0C10B" w14:textId="77777777" w:rsidR="00F64A1B" w:rsidRDefault="00F64A1B" w:rsidP="008B183A"/>
    <w:p w14:paraId="5D1A8E99" w14:textId="77777777" w:rsidR="00F64A1B" w:rsidRDefault="00F64A1B" w:rsidP="008B183A"/>
    <w:p w14:paraId="5EDD67FC" w14:textId="77777777" w:rsidR="00F64A1B" w:rsidRDefault="00F64A1B" w:rsidP="008B183A"/>
    <w:sectPr w:rsidR="00F64A1B" w:rsidSect="00CF428D">
      <w:headerReference w:type="default" r:id="rId10"/>
      <w:footerReference w:type="default" r:id="rId11"/>
      <w:pgSz w:w="11906" w:h="16838"/>
      <w:pgMar w:top="1134" w:right="1133" w:bottom="851" w:left="1417" w:header="708"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339D" w14:textId="77777777" w:rsidR="003D1ED9" w:rsidRDefault="003D1ED9" w:rsidP="00B10DFC">
      <w:pPr>
        <w:spacing w:after="0" w:line="240" w:lineRule="auto"/>
      </w:pPr>
      <w:r>
        <w:separator/>
      </w:r>
    </w:p>
  </w:endnote>
  <w:endnote w:type="continuationSeparator" w:id="0">
    <w:p w14:paraId="788B8F48" w14:textId="77777777" w:rsidR="003D1ED9" w:rsidRDefault="003D1ED9" w:rsidP="00B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ler Medium">
    <w:panose1 w:val="00000000000000000000"/>
    <w:charset w:val="00"/>
    <w:family w:val="modern"/>
    <w:notTrueType/>
    <w:pitch w:val="variable"/>
    <w:sig w:usb0="A000026F" w:usb1="0000205A" w:usb2="00000000" w:usb3="00000000" w:csb0="00000097"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DF2D" w14:textId="557835A2" w:rsidR="0054392A" w:rsidRPr="00F11A83" w:rsidRDefault="0054392A" w:rsidP="00F11A83">
    <w:pPr>
      <w:pStyle w:val="En-tte"/>
      <w:spacing w:before="240"/>
      <w:rPr>
        <w:sz w:val="18"/>
        <w:szCs w:val="18"/>
      </w:rPr>
    </w:pPr>
    <w:r>
      <w:rPr>
        <w:rFonts w:asciiTheme="majorHAnsi" w:hAnsiTheme="majorHAnsi"/>
      </w:rPr>
      <w:t xml:space="preserve">Charte EP et BIODIVERSITE - </w:t>
    </w:r>
    <w:r w:rsidR="008906A1">
      <w:rPr>
        <w:rFonts w:asciiTheme="majorHAnsi" w:hAnsiTheme="majorHAnsi"/>
      </w:rPr>
      <w:t>EPCI</w:t>
    </w:r>
    <w:r>
      <w:rPr>
        <w:rFonts w:asciiTheme="majorHAnsi" w:hAnsiTheme="majorHAnsi"/>
      </w:rPr>
      <w:t xml:space="preserve">/SDE22 </w:t>
    </w:r>
    <w:r>
      <w:rPr>
        <w:rFonts w:asciiTheme="majorHAnsi" w:hAnsiTheme="majorHAnsi"/>
      </w:rPr>
      <w:tab/>
    </w:r>
    <w:sdt>
      <w:sdtPr>
        <w:id w:val="1124206072"/>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r w:rsidRPr="00F11A83">
              <w:rPr>
                <w:bCs/>
                <w:sz w:val="18"/>
                <w:szCs w:val="18"/>
              </w:rPr>
              <w:fldChar w:fldCharType="begin"/>
            </w:r>
            <w:r w:rsidRPr="00F11A83">
              <w:rPr>
                <w:bCs/>
                <w:sz w:val="18"/>
                <w:szCs w:val="18"/>
              </w:rPr>
              <w:instrText>PAGE</w:instrText>
            </w:r>
            <w:r w:rsidRPr="00F11A83">
              <w:rPr>
                <w:bCs/>
                <w:sz w:val="18"/>
                <w:szCs w:val="18"/>
              </w:rPr>
              <w:fldChar w:fldCharType="separate"/>
            </w:r>
            <w:r w:rsidR="00DA14EC">
              <w:rPr>
                <w:bCs/>
                <w:noProof/>
                <w:sz w:val="18"/>
                <w:szCs w:val="18"/>
              </w:rPr>
              <w:t>14</w:t>
            </w:r>
            <w:r w:rsidRPr="00F11A83">
              <w:rPr>
                <w:bCs/>
                <w:sz w:val="18"/>
                <w:szCs w:val="18"/>
              </w:rPr>
              <w:fldChar w:fldCharType="end"/>
            </w:r>
            <w:r w:rsidRPr="00F11A83">
              <w:rPr>
                <w:sz w:val="18"/>
                <w:szCs w:val="18"/>
              </w:rPr>
              <w:t xml:space="preserve"> / </w:t>
            </w:r>
            <w:r w:rsidRPr="00F11A83">
              <w:rPr>
                <w:bCs/>
                <w:sz w:val="18"/>
                <w:szCs w:val="18"/>
              </w:rPr>
              <w:fldChar w:fldCharType="begin"/>
            </w:r>
            <w:r w:rsidRPr="00F11A83">
              <w:rPr>
                <w:bCs/>
                <w:sz w:val="18"/>
                <w:szCs w:val="18"/>
              </w:rPr>
              <w:instrText>NUMPAGES</w:instrText>
            </w:r>
            <w:r w:rsidRPr="00F11A83">
              <w:rPr>
                <w:bCs/>
                <w:sz w:val="18"/>
                <w:szCs w:val="18"/>
              </w:rPr>
              <w:fldChar w:fldCharType="separate"/>
            </w:r>
            <w:r w:rsidR="00DA14EC">
              <w:rPr>
                <w:bCs/>
                <w:noProof/>
                <w:sz w:val="18"/>
                <w:szCs w:val="18"/>
              </w:rPr>
              <w:t>14</w:t>
            </w:r>
            <w:r w:rsidRPr="00F11A83">
              <w:rPr>
                <w:bCs/>
                <w:sz w:val="18"/>
                <w:szCs w:val="18"/>
              </w:rPr>
              <w:fldChar w:fldCharType="end"/>
            </w:r>
          </w:sdtContent>
        </w:sdt>
      </w:sdtContent>
    </w:sdt>
  </w:p>
  <w:p w14:paraId="2399AF6B" w14:textId="77777777" w:rsidR="0054392A" w:rsidRDefault="0054392A" w:rsidP="00F11A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635F" w14:textId="77777777" w:rsidR="003D1ED9" w:rsidRDefault="003D1ED9" w:rsidP="00B10DFC">
      <w:pPr>
        <w:spacing w:after="0" w:line="240" w:lineRule="auto"/>
      </w:pPr>
      <w:r>
        <w:separator/>
      </w:r>
    </w:p>
  </w:footnote>
  <w:footnote w:type="continuationSeparator" w:id="0">
    <w:p w14:paraId="62B9AE38" w14:textId="77777777" w:rsidR="003D1ED9" w:rsidRDefault="003D1ED9" w:rsidP="00B1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5DC1" w14:textId="77777777" w:rsidR="0054392A" w:rsidRDefault="0054392A">
    <w:pPr>
      <w:pStyle w:val="En-tte"/>
    </w:pPr>
  </w:p>
  <w:p w14:paraId="3B88BBAF" w14:textId="77777777" w:rsidR="0054392A" w:rsidRDefault="0054392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F75"/>
    <w:multiLevelType w:val="hybridMultilevel"/>
    <w:tmpl w:val="8A4AD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07C72"/>
    <w:multiLevelType w:val="hybridMultilevel"/>
    <w:tmpl w:val="B17EE562"/>
    <w:lvl w:ilvl="0" w:tplc="BFB4D9A2">
      <w:numFmt w:val="bullet"/>
      <w:lvlText w:val=""/>
      <w:lvlJc w:val="left"/>
      <w:pPr>
        <w:ind w:left="1069" w:hanging="360"/>
      </w:pPr>
      <w:rPr>
        <w:rFonts w:ascii="Wingdings" w:eastAsiaTheme="minorHAnsi" w:hAnsi="Wingdings"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1345636C"/>
    <w:multiLevelType w:val="hybridMultilevel"/>
    <w:tmpl w:val="F3DE21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8C0CD4"/>
    <w:multiLevelType w:val="hybridMultilevel"/>
    <w:tmpl w:val="B628A228"/>
    <w:lvl w:ilvl="0" w:tplc="040C0001">
      <w:start w:val="1"/>
      <w:numFmt w:val="bullet"/>
      <w:lvlText w:val=""/>
      <w:lvlJc w:val="left"/>
      <w:pPr>
        <w:ind w:left="1068" w:hanging="708"/>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22115"/>
    <w:multiLevelType w:val="hybridMultilevel"/>
    <w:tmpl w:val="CF6C0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925865"/>
    <w:multiLevelType w:val="hybridMultilevel"/>
    <w:tmpl w:val="B9F0B7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F311F0"/>
    <w:multiLevelType w:val="hybridMultilevel"/>
    <w:tmpl w:val="8F484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F43FB8"/>
    <w:multiLevelType w:val="hybridMultilevel"/>
    <w:tmpl w:val="BEAC7B34"/>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840E79"/>
    <w:multiLevelType w:val="hybridMultilevel"/>
    <w:tmpl w:val="CC86D62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2E9C5D4F"/>
    <w:multiLevelType w:val="hybridMultilevel"/>
    <w:tmpl w:val="265272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AD006E"/>
    <w:multiLevelType w:val="hybridMultilevel"/>
    <w:tmpl w:val="41A4C350"/>
    <w:lvl w:ilvl="0" w:tplc="730855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934AA6"/>
    <w:multiLevelType w:val="multilevel"/>
    <w:tmpl w:val="F2C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4163E"/>
    <w:multiLevelType w:val="hybridMultilevel"/>
    <w:tmpl w:val="C046F4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A90A17"/>
    <w:multiLevelType w:val="hybridMultilevel"/>
    <w:tmpl w:val="771AB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2E4EA9"/>
    <w:multiLevelType w:val="hybridMultilevel"/>
    <w:tmpl w:val="F4502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EE4FA9"/>
    <w:multiLevelType w:val="hybridMultilevel"/>
    <w:tmpl w:val="AC84B7BC"/>
    <w:lvl w:ilvl="0" w:tplc="730855D8">
      <w:numFmt w:val="bullet"/>
      <w:lvlText w:val="-"/>
      <w:lvlJc w:val="left"/>
      <w:pPr>
        <w:ind w:left="1429" w:hanging="360"/>
      </w:pPr>
      <w:rPr>
        <w:rFonts w:ascii="Calibri" w:eastAsiaTheme="minorHAnsi" w:hAnsi="Calibri" w:cs="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4E4C08DC"/>
    <w:multiLevelType w:val="hybridMultilevel"/>
    <w:tmpl w:val="0E9A9F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851825"/>
    <w:multiLevelType w:val="hybridMultilevel"/>
    <w:tmpl w:val="B8BCA004"/>
    <w:lvl w:ilvl="0" w:tplc="730855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8665C1"/>
    <w:multiLevelType w:val="hybridMultilevel"/>
    <w:tmpl w:val="CC0201EE"/>
    <w:lvl w:ilvl="0" w:tplc="D630A0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BD210A"/>
    <w:multiLevelType w:val="hybridMultilevel"/>
    <w:tmpl w:val="A0208720"/>
    <w:lvl w:ilvl="0" w:tplc="040C000D">
      <w:start w:val="1"/>
      <w:numFmt w:val="bullet"/>
      <w:lvlText w:val=""/>
      <w:lvlJc w:val="left"/>
      <w:pPr>
        <w:ind w:left="720" w:hanging="360"/>
      </w:pPr>
      <w:rPr>
        <w:rFonts w:ascii="Wingdings" w:hAnsi="Wingdings" w:hint="default"/>
      </w:rPr>
    </w:lvl>
    <w:lvl w:ilvl="1" w:tplc="730855D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5D7E3C"/>
    <w:multiLevelType w:val="hybridMultilevel"/>
    <w:tmpl w:val="122A4C7E"/>
    <w:lvl w:ilvl="0" w:tplc="33604B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BC7EC8"/>
    <w:multiLevelType w:val="hybridMultilevel"/>
    <w:tmpl w:val="6B58A7FE"/>
    <w:lvl w:ilvl="0" w:tplc="53AA17FE">
      <w:start w:val="1"/>
      <w:numFmt w:val="decimal"/>
      <w:lvlText w:val="%1-"/>
      <w:lvlJc w:val="left"/>
      <w:pPr>
        <w:ind w:left="720" w:hanging="360"/>
      </w:pPr>
      <w:rPr>
        <w:rFonts w:ascii="Muller Medium" w:hAnsi="Muller Medium"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BC90821"/>
    <w:multiLevelType w:val="hybridMultilevel"/>
    <w:tmpl w:val="0FC8F02C"/>
    <w:lvl w:ilvl="0" w:tplc="33604B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586699"/>
    <w:multiLevelType w:val="hybridMultilevel"/>
    <w:tmpl w:val="6CA44BEC"/>
    <w:lvl w:ilvl="0" w:tplc="0C405F60">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634972"/>
    <w:multiLevelType w:val="hybridMultilevel"/>
    <w:tmpl w:val="B7EA26F4"/>
    <w:lvl w:ilvl="0" w:tplc="0C405F60">
      <w:numFmt w:val="bullet"/>
      <w:lvlText w:val=""/>
      <w:lvlJc w:val="left"/>
      <w:pPr>
        <w:ind w:left="812" w:hanging="360"/>
      </w:pPr>
      <w:rPr>
        <w:rFonts w:ascii="Wingdings" w:eastAsiaTheme="minorHAnsi" w:hAnsi="Wingdings" w:cstheme="minorBidi" w:hint="default"/>
        <w:b/>
      </w:rPr>
    </w:lvl>
    <w:lvl w:ilvl="1" w:tplc="040C0003" w:tentative="1">
      <w:start w:val="1"/>
      <w:numFmt w:val="bullet"/>
      <w:lvlText w:val="o"/>
      <w:lvlJc w:val="left"/>
      <w:pPr>
        <w:ind w:left="1532" w:hanging="360"/>
      </w:pPr>
      <w:rPr>
        <w:rFonts w:ascii="Courier New" w:hAnsi="Courier New" w:cs="Courier New" w:hint="default"/>
      </w:rPr>
    </w:lvl>
    <w:lvl w:ilvl="2" w:tplc="040C0005" w:tentative="1">
      <w:start w:val="1"/>
      <w:numFmt w:val="bullet"/>
      <w:lvlText w:val=""/>
      <w:lvlJc w:val="left"/>
      <w:pPr>
        <w:ind w:left="2252" w:hanging="360"/>
      </w:pPr>
      <w:rPr>
        <w:rFonts w:ascii="Wingdings" w:hAnsi="Wingdings" w:hint="default"/>
      </w:rPr>
    </w:lvl>
    <w:lvl w:ilvl="3" w:tplc="040C0001" w:tentative="1">
      <w:start w:val="1"/>
      <w:numFmt w:val="bullet"/>
      <w:lvlText w:val=""/>
      <w:lvlJc w:val="left"/>
      <w:pPr>
        <w:ind w:left="2972" w:hanging="360"/>
      </w:pPr>
      <w:rPr>
        <w:rFonts w:ascii="Symbol" w:hAnsi="Symbol" w:hint="default"/>
      </w:rPr>
    </w:lvl>
    <w:lvl w:ilvl="4" w:tplc="040C0003" w:tentative="1">
      <w:start w:val="1"/>
      <w:numFmt w:val="bullet"/>
      <w:lvlText w:val="o"/>
      <w:lvlJc w:val="left"/>
      <w:pPr>
        <w:ind w:left="3692" w:hanging="360"/>
      </w:pPr>
      <w:rPr>
        <w:rFonts w:ascii="Courier New" w:hAnsi="Courier New" w:cs="Courier New" w:hint="default"/>
      </w:rPr>
    </w:lvl>
    <w:lvl w:ilvl="5" w:tplc="040C0005" w:tentative="1">
      <w:start w:val="1"/>
      <w:numFmt w:val="bullet"/>
      <w:lvlText w:val=""/>
      <w:lvlJc w:val="left"/>
      <w:pPr>
        <w:ind w:left="4412" w:hanging="360"/>
      </w:pPr>
      <w:rPr>
        <w:rFonts w:ascii="Wingdings" w:hAnsi="Wingdings" w:hint="default"/>
      </w:rPr>
    </w:lvl>
    <w:lvl w:ilvl="6" w:tplc="040C0001" w:tentative="1">
      <w:start w:val="1"/>
      <w:numFmt w:val="bullet"/>
      <w:lvlText w:val=""/>
      <w:lvlJc w:val="left"/>
      <w:pPr>
        <w:ind w:left="5132" w:hanging="360"/>
      </w:pPr>
      <w:rPr>
        <w:rFonts w:ascii="Symbol" w:hAnsi="Symbol" w:hint="default"/>
      </w:rPr>
    </w:lvl>
    <w:lvl w:ilvl="7" w:tplc="040C0003" w:tentative="1">
      <w:start w:val="1"/>
      <w:numFmt w:val="bullet"/>
      <w:lvlText w:val="o"/>
      <w:lvlJc w:val="left"/>
      <w:pPr>
        <w:ind w:left="5852" w:hanging="360"/>
      </w:pPr>
      <w:rPr>
        <w:rFonts w:ascii="Courier New" w:hAnsi="Courier New" w:cs="Courier New" w:hint="default"/>
      </w:rPr>
    </w:lvl>
    <w:lvl w:ilvl="8" w:tplc="040C0005" w:tentative="1">
      <w:start w:val="1"/>
      <w:numFmt w:val="bullet"/>
      <w:lvlText w:val=""/>
      <w:lvlJc w:val="left"/>
      <w:pPr>
        <w:ind w:left="6572" w:hanging="360"/>
      </w:pPr>
      <w:rPr>
        <w:rFonts w:ascii="Wingdings" w:hAnsi="Wingdings" w:hint="default"/>
      </w:rPr>
    </w:lvl>
  </w:abstractNum>
  <w:abstractNum w:abstractNumId="25" w15:restartNumberingAfterBreak="0">
    <w:nsid w:val="796C02E0"/>
    <w:multiLevelType w:val="hybridMultilevel"/>
    <w:tmpl w:val="11122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4B70A2"/>
    <w:multiLevelType w:val="hybridMultilevel"/>
    <w:tmpl w:val="6A9A057E"/>
    <w:lvl w:ilvl="0" w:tplc="730855D8">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24"/>
  </w:num>
  <w:num w:numId="4">
    <w:abstractNumId w:val="5"/>
  </w:num>
  <w:num w:numId="5">
    <w:abstractNumId w:val="19"/>
  </w:num>
  <w:num w:numId="6">
    <w:abstractNumId w:val="7"/>
  </w:num>
  <w:num w:numId="7">
    <w:abstractNumId w:val="12"/>
  </w:num>
  <w:num w:numId="8">
    <w:abstractNumId w:val="9"/>
  </w:num>
  <w:num w:numId="9">
    <w:abstractNumId w:val="8"/>
  </w:num>
  <w:num w:numId="10">
    <w:abstractNumId w:val="1"/>
  </w:num>
  <w:num w:numId="11">
    <w:abstractNumId w:val="15"/>
  </w:num>
  <w:num w:numId="12">
    <w:abstractNumId w:val="17"/>
  </w:num>
  <w:num w:numId="13">
    <w:abstractNumId w:val="10"/>
  </w:num>
  <w:num w:numId="14">
    <w:abstractNumId w:val="6"/>
  </w:num>
  <w:num w:numId="15">
    <w:abstractNumId w:val="14"/>
  </w:num>
  <w:num w:numId="16">
    <w:abstractNumId w:val="20"/>
  </w:num>
  <w:num w:numId="17">
    <w:abstractNumId w:val="22"/>
  </w:num>
  <w:num w:numId="18">
    <w:abstractNumId w:val="21"/>
  </w:num>
  <w:num w:numId="19">
    <w:abstractNumId w:val="18"/>
  </w:num>
  <w:num w:numId="20">
    <w:abstractNumId w:val="25"/>
  </w:num>
  <w:num w:numId="21">
    <w:abstractNumId w:val="11"/>
  </w:num>
  <w:num w:numId="22">
    <w:abstractNumId w:val="4"/>
  </w:num>
  <w:num w:numId="23">
    <w:abstractNumId w:val="0"/>
  </w:num>
  <w:num w:numId="24">
    <w:abstractNumId w:val="16"/>
  </w:num>
  <w:num w:numId="25">
    <w:abstractNumId w:val="26"/>
  </w:num>
  <w:num w:numId="26">
    <w:abstractNumId w:val="1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AC"/>
    <w:rsid w:val="00025ABA"/>
    <w:rsid w:val="000316C3"/>
    <w:rsid w:val="00045E6E"/>
    <w:rsid w:val="00080015"/>
    <w:rsid w:val="000920E4"/>
    <w:rsid w:val="000A55B8"/>
    <w:rsid w:val="000B3CE3"/>
    <w:rsid w:val="000B527B"/>
    <w:rsid w:val="000B6D77"/>
    <w:rsid w:val="000D000F"/>
    <w:rsid w:val="000E1158"/>
    <w:rsid w:val="000F1CEE"/>
    <w:rsid w:val="000F55E0"/>
    <w:rsid w:val="00106040"/>
    <w:rsid w:val="00131029"/>
    <w:rsid w:val="00135D7E"/>
    <w:rsid w:val="00155B5D"/>
    <w:rsid w:val="00197856"/>
    <w:rsid w:val="00197EB0"/>
    <w:rsid w:val="001A14EA"/>
    <w:rsid w:val="001A4586"/>
    <w:rsid w:val="001D0FA5"/>
    <w:rsid w:val="001D27FD"/>
    <w:rsid w:val="001E3973"/>
    <w:rsid w:val="002174CE"/>
    <w:rsid w:val="0023492E"/>
    <w:rsid w:val="00234A4C"/>
    <w:rsid w:val="002365E5"/>
    <w:rsid w:val="00272D58"/>
    <w:rsid w:val="0028706E"/>
    <w:rsid w:val="00287BD8"/>
    <w:rsid w:val="002958E9"/>
    <w:rsid w:val="002A4ED4"/>
    <w:rsid w:val="002A7C10"/>
    <w:rsid w:val="002C639D"/>
    <w:rsid w:val="002F7AA1"/>
    <w:rsid w:val="00336D71"/>
    <w:rsid w:val="00344910"/>
    <w:rsid w:val="0037631D"/>
    <w:rsid w:val="00382F91"/>
    <w:rsid w:val="00384D4D"/>
    <w:rsid w:val="0038642B"/>
    <w:rsid w:val="00397D25"/>
    <w:rsid w:val="003B5658"/>
    <w:rsid w:val="003D1D4D"/>
    <w:rsid w:val="003D1ED9"/>
    <w:rsid w:val="004278BC"/>
    <w:rsid w:val="0043065A"/>
    <w:rsid w:val="004346A9"/>
    <w:rsid w:val="00434C88"/>
    <w:rsid w:val="00467FF8"/>
    <w:rsid w:val="004778B5"/>
    <w:rsid w:val="0048455A"/>
    <w:rsid w:val="00492AC5"/>
    <w:rsid w:val="004A7A5C"/>
    <w:rsid w:val="004C1C3D"/>
    <w:rsid w:val="004D1D58"/>
    <w:rsid w:val="004E1B13"/>
    <w:rsid w:val="004F4ADF"/>
    <w:rsid w:val="0050094B"/>
    <w:rsid w:val="00512B56"/>
    <w:rsid w:val="00527371"/>
    <w:rsid w:val="00537180"/>
    <w:rsid w:val="00537315"/>
    <w:rsid w:val="0054392A"/>
    <w:rsid w:val="00554910"/>
    <w:rsid w:val="005642C2"/>
    <w:rsid w:val="0057322D"/>
    <w:rsid w:val="0058212A"/>
    <w:rsid w:val="005B5BA5"/>
    <w:rsid w:val="005E162A"/>
    <w:rsid w:val="00600933"/>
    <w:rsid w:val="00621AD1"/>
    <w:rsid w:val="006340DA"/>
    <w:rsid w:val="006354ED"/>
    <w:rsid w:val="006865D3"/>
    <w:rsid w:val="00697E1E"/>
    <w:rsid w:val="006A1645"/>
    <w:rsid w:val="006C1859"/>
    <w:rsid w:val="006D7A79"/>
    <w:rsid w:val="006E1B26"/>
    <w:rsid w:val="006F2B79"/>
    <w:rsid w:val="00703964"/>
    <w:rsid w:val="00710C5D"/>
    <w:rsid w:val="00711A73"/>
    <w:rsid w:val="00725E19"/>
    <w:rsid w:val="00727BBC"/>
    <w:rsid w:val="0075101B"/>
    <w:rsid w:val="007545B4"/>
    <w:rsid w:val="00766175"/>
    <w:rsid w:val="007810E2"/>
    <w:rsid w:val="00784E02"/>
    <w:rsid w:val="007875DB"/>
    <w:rsid w:val="00793794"/>
    <w:rsid w:val="007A38DD"/>
    <w:rsid w:val="007B419E"/>
    <w:rsid w:val="007B7A7A"/>
    <w:rsid w:val="007E37CB"/>
    <w:rsid w:val="007F120D"/>
    <w:rsid w:val="007F6DD6"/>
    <w:rsid w:val="00806FBF"/>
    <w:rsid w:val="008361D7"/>
    <w:rsid w:val="00841DE4"/>
    <w:rsid w:val="00853304"/>
    <w:rsid w:val="00857729"/>
    <w:rsid w:val="00864B92"/>
    <w:rsid w:val="00873BD9"/>
    <w:rsid w:val="00880483"/>
    <w:rsid w:val="008906A1"/>
    <w:rsid w:val="008B183A"/>
    <w:rsid w:val="008D2AD5"/>
    <w:rsid w:val="009130D7"/>
    <w:rsid w:val="00915130"/>
    <w:rsid w:val="0093119E"/>
    <w:rsid w:val="00937ECD"/>
    <w:rsid w:val="0096141B"/>
    <w:rsid w:val="009A61B0"/>
    <w:rsid w:val="009E71F0"/>
    <w:rsid w:val="00A12006"/>
    <w:rsid w:val="00A24B74"/>
    <w:rsid w:val="00A40A34"/>
    <w:rsid w:val="00A63716"/>
    <w:rsid w:val="00A63C2D"/>
    <w:rsid w:val="00A95E18"/>
    <w:rsid w:val="00AA3845"/>
    <w:rsid w:val="00AB79C4"/>
    <w:rsid w:val="00AD22FD"/>
    <w:rsid w:val="00B10DFC"/>
    <w:rsid w:val="00B11129"/>
    <w:rsid w:val="00B37324"/>
    <w:rsid w:val="00B40AD0"/>
    <w:rsid w:val="00B50046"/>
    <w:rsid w:val="00B51950"/>
    <w:rsid w:val="00B7061A"/>
    <w:rsid w:val="00B7315F"/>
    <w:rsid w:val="00B75A73"/>
    <w:rsid w:val="00B81C15"/>
    <w:rsid w:val="00BA0296"/>
    <w:rsid w:val="00BC02F8"/>
    <w:rsid w:val="00BD1307"/>
    <w:rsid w:val="00BE358E"/>
    <w:rsid w:val="00C50A9A"/>
    <w:rsid w:val="00C512D8"/>
    <w:rsid w:val="00C629C7"/>
    <w:rsid w:val="00C65E92"/>
    <w:rsid w:val="00CB1B51"/>
    <w:rsid w:val="00CB49FE"/>
    <w:rsid w:val="00CB4D07"/>
    <w:rsid w:val="00CC4F9E"/>
    <w:rsid w:val="00CF428D"/>
    <w:rsid w:val="00D214D5"/>
    <w:rsid w:val="00D317B6"/>
    <w:rsid w:val="00D42EC3"/>
    <w:rsid w:val="00D55D90"/>
    <w:rsid w:val="00D61179"/>
    <w:rsid w:val="00D634C6"/>
    <w:rsid w:val="00D719AC"/>
    <w:rsid w:val="00D844A6"/>
    <w:rsid w:val="00D90835"/>
    <w:rsid w:val="00DA14EC"/>
    <w:rsid w:val="00DE1ECA"/>
    <w:rsid w:val="00E41580"/>
    <w:rsid w:val="00E44A74"/>
    <w:rsid w:val="00E46AD9"/>
    <w:rsid w:val="00E5098F"/>
    <w:rsid w:val="00ED6519"/>
    <w:rsid w:val="00F07E93"/>
    <w:rsid w:val="00F11A83"/>
    <w:rsid w:val="00F321DB"/>
    <w:rsid w:val="00F3334B"/>
    <w:rsid w:val="00F5053C"/>
    <w:rsid w:val="00F51B3B"/>
    <w:rsid w:val="00F64A1B"/>
    <w:rsid w:val="00F837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E845C"/>
  <w15:docId w15:val="{96C0D5CB-FD1E-477D-829D-980A93EF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37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3798"/>
    <w:rPr>
      <w:rFonts w:ascii="Tahoma" w:hAnsi="Tahoma" w:cs="Tahoma"/>
      <w:sz w:val="16"/>
      <w:szCs w:val="16"/>
    </w:rPr>
  </w:style>
  <w:style w:type="paragraph" w:styleId="Paragraphedeliste">
    <w:name w:val="List Paragraph"/>
    <w:basedOn w:val="Normal"/>
    <w:uiPriority w:val="34"/>
    <w:qFormat/>
    <w:rsid w:val="004C1C3D"/>
    <w:pPr>
      <w:ind w:left="720"/>
      <w:contextualSpacing/>
    </w:pPr>
  </w:style>
  <w:style w:type="paragraph" w:styleId="En-tte">
    <w:name w:val="header"/>
    <w:basedOn w:val="Normal"/>
    <w:link w:val="En-tteCar"/>
    <w:uiPriority w:val="99"/>
    <w:unhideWhenUsed/>
    <w:rsid w:val="00B10DFC"/>
    <w:pPr>
      <w:tabs>
        <w:tab w:val="center" w:pos="4536"/>
        <w:tab w:val="right" w:pos="9072"/>
      </w:tabs>
      <w:spacing w:after="0" w:line="240" w:lineRule="auto"/>
    </w:pPr>
  </w:style>
  <w:style w:type="character" w:customStyle="1" w:styleId="En-tteCar">
    <w:name w:val="En-tête Car"/>
    <w:basedOn w:val="Policepardfaut"/>
    <w:link w:val="En-tte"/>
    <w:uiPriority w:val="99"/>
    <w:rsid w:val="00B10DFC"/>
  </w:style>
  <w:style w:type="paragraph" w:styleId="Pieddepage">
    <w:name w:val="footer"/>
    <w:basedOn w:val="Normal"/>
    <w:link w:val="PieddepageCar"/>
    <w:uiPriority w:val="99"/>
    <w:unhideWhenUsed/>
    <w:rsid w:val="00B10D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0DFC"/>
  </w:style>
  <w:style w:type="paragraph" w:styleId="Rvision">
    <w:name w:val="Revision"/>
    <w:hidden/>
    <w:uiPriority w:val="99"/>
    <w:semiHidden/>
    <w:rsid w:val="00E41580"/>
    <w:pPr>
      <w:spacing w:after="0" w:line="240" w:lineRule="auto"/>
    </w:pPr>
  </w:style>
  <w:style w:type="character" w:styleId="Accentuation">
    <w:name w:val="Emphasis"/>
    <w:basedOn w:val="Policepardfaut"/>
    <w:uiPriority w:val="20"/>
    <w:qFormat/>
    <w:rsid w:val="00784E02"/>
    <w:rPr>
      <w:i/>
      <w:iCs/>
    </w:rPr>
  </w:style>
  <w:style w:type="character" w:customStyle="1" w:styleId="hgkelc">
    <w:name w:val="hgkelc"/>
    <w:basedOn w:val="Policepardfaut"/>
    <w:rsid w:val="00784E02"/>
  </w:style>
  <w:style w:type="character" w:styleId="Lienhypertexte">
    <w:name w:val="Hyperlink"/>
    <w:basedOn w:val="Policepardfaut"/>
    <w:uiPriority w:val="99"/>
    <w:semiHidden/>
    <w:unhideWhenUsed/>
    <w:rsid w:val="004346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88463">
      <w:bodyDiv w:val="1"/>
      <w:marLeft w:val="0"/>
      <w:marRight w:val="0"/>
      <w:marTop w:val="0"/>
      <w:marBottom w:val="0"/>
      <w:divBdr>
        <w:top w:val="none" w:sz="0" w:space="0" w:color="auto"/>
        <w:left w:val="none" w:sz="0" w:space="0" w:color="auto"/>
        <w:bottom w:val="none" w:sz="0" w:space="0" w:color="auto"/>
        <w:right w:val="none" w:sz="0" w:space="0" w:color="auto"/>
      </w:divBdr>
    </w:div>
    <w:div w:id="430515723">
      <w:bodyDiv w:val="1"/>
      <w:marLeft w:val="0"/>
      <w:marRight w:val="0"/>
      <w:marTop w:val="0"/>
      <w:marBottom w:val="0"/>
      <w:divBdr>
        <w:top w:val="none" w:sz="0" w:space="0" w:color="auto"/>
        <w:left w:val="none" w:sz="0" w:space="0" w:color="auto"/>
        <w:bottom w:val="none" w:sz="0" w:space="0" w:color="auto"/>
        <w:right w:val="none" w:sz="0" w:space="0" w:color="auto"/>
      </w:divBdr>
    </w:div>
    <w:div w:id="15070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A6A5A-EE9F-4CF3-8D1D-4F27F8FE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4296</Words>
  <Characters>23629</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dynaMIPS</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TIRELL, Nolwenn</cp:lastModifiedBy>
  <cp:revision>2</cp:revision>
  <cp:lastPrinted>2025-09-26T11:57:00Z</cp:lastPrinted>
  <dcterms:created xsi:type="dcterms:W3CDTF">2026-03-20T15:29:00Z</dcterms:created>
  <dcterms:modified xsi:type="dcterms:W3CDTF">2026-03-20T15:29:00Z</dcterms:modified>
</cp:coreProperties>
</file>